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68"/>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8"/>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6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2026-2028年薛家道路保洁、绿化养护项</w:t>
      </w:r>
      <w:r>
        <w:rPr>
          <w:rFonts w:ascii="宋体" w:hAnsi="宋体"/>
          <w:bCs/>
          <w:color w:val="000000"/>
          <w:sz w:val="36"/>
          <w:szCs w:val="36"/>
          <w:highlight w:val="none"/>
        </w:rPr>
        <w:t xml:space="preserve">目</w:t>
      </w:r>
      <w:r>
        <w:rPr>
          <w:rFonts w:ascii="宋体" w:hAnsi="宋体"/>
          <w:bCs/>
          <w:color w:val="000000"/>
          <w:sz w:val="36"/>
          <w:szCs w:val="36"/>
          <w:highlight w:val="none"/>
        </w:rPr>
      </w:r>
      <w:r/>
    </w:p>
    <w:p>
      <w:pPr>
        <w:pStyle w:val="106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JSZC-320411003-CTZB-G2026-0054</w:t>
      </w:r>
      <w:r>
        <w:rPr>
          <w:rFonts w:ascii="宋体" w:hAnsi="宋体"/>
          <w:bCs/>
          <w:color w:val="000000"/>
          <w:sz w:val="36"/>
          <w:szCs w:val="36"/>
          <w:highlight w:val="none"/>
        </w:rPr>
      </w:r>
      <w:r/>
    </w:p>
    <w:p>
      <w:pPr>
        <w:pStyle w:val="106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常州市新北区薛家镇人民政府</w:t>
      </w:r>
      <w:r>
        <w:rPr>
          <w:rFonts w:ascii="宋体" w:hAnsi="宋体"/>
          <w:bCs/>
          <w:color w:val="000000"/>
          <w:sz w:val="36"/>
          <w:szCs w:val="36"/>
          <w:highlight w:val="none"/>
        </w:rPr>
      </w:r>
      <w:r/>
    </w:p>
    <w:p>
      <w:pPr>
        <w:pStyle w:val="1068"/>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68"/>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68"/>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68"/>
        <w:rPr>
          <w:rFonts w:ascii="宋体" w:hAnsi="宋体"/>
          <w:color w:val="000000"/>
          <w:highlight w:val="none"/>
        </w:rPr>
      </w:pPr>
      <w:r>
        <w:rPr>
          <w:rFonts w:ascii="宋体" w:hAnsi="宋体"/>
          <w:color w:val="000000"/>
          <w:highlight w:val="none"/>
        </w:rPr>
      </w:r>
      <w:r/>
    </w:p>
    <w:p>
      <w:pPr>
        <w:pStyle w:val="1068"/>
        <w:rPr>
          <w:rFonts w:ascii="宋体" w:hAnsi="宋体"/>
          <w:color w:val="000000"/>
          <w:highlight w:val="none"/>
        </w:rPr>
      </w:pPr>
      <w:r>
        <w:rPr>
          <w:rFonts w:ascii="宋体" w:hAnsi="宋体"/>
          <w:color w:val="000000"/>
          <w:highlight w:val="none"/>
        </w:rPr>
      </w:r>
      <w:r/>
    </w:p>
    <w:p>
      <w:pPr>
        <w:pStyle w:val="1068"/>
        <w:rPr>
          <w:rFonts w:ascii="宋体" w:hAnsi="宋体"/>
          <w:color w:val="000000"/>
          <w:highlight w:val="none"/>
        </w:rPr>
      </w:pPr>
      <w:r>
        <w:rPr>
          <w:rFonts w:ascii="宋体" w:hAnsi="宋体"/>
          <w:color w:val="000000"/>
          <w:highlight w:val="none"/>
        </w:rPr>
      </w:r>
      <w:r/>
    </w:p>
    <w:p>
      <w:pPr>
        <w:pStyle w:val="1120"/>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3"/>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3"/>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3"/>
          <w:color w:val="000000"/>
          <w:sz w:val="32"/>
          <w:szCs w:val="32"/>
          <w:highlight w:val="none"/>
        </w:rPr>
        <w:t xml:space="preserve">第三章   资</w:t>
      </w:r>
      <w:bookmarkStart w:id="1" w:name="_Hlt100754117"/>
      <w:r>
        <w:rPr>
          <w:rStyle w:val="1143"/>
          <w:color w:val="000000"/>
          <w:sz w:val="32"/>
          <w:szCs w:val="32"/>
          <w:highlight w:val="none"/>
        </w:rPr>
        <w:t xml:space="preserve">格</w:t>
      </w:r>
      <w:bookmarkEnd w:id="1"/>
      <w:r>
        <w:rPr>
          <w:rStyle w:val="1143"/>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3"/>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3"/>
          <w:color w:val="000000"/>
          <w:sz w:val="32"/>
          <w:szCs w:val="32"/>
          <w:highlight w:val="none"/>
        </w:rPr>
        <w:t xml:space="preserve">第五章   采购</w:t>
      </w:r>
      <w:bookmarkStart w:id="2" w:name="_Hlt100754102"/>
      <w:r/>
      <w:bookmarkStart w:id="3" w:name="_Hlt100754103"/>
      <w:r>
        <w:rPr>
          <w:rStyle w:val="1143"/>
          <w:color w:val="000000"/>
          <w:sz w:val="32"/>
          <w:szCs w:val="32"/>
          <w:highlight w:val="none"/>
        </w:rPr>
        <w:t xml:space="preserve">需</w:t>
      </w:r>
      <w:bookmarkEnd w:id="2"/>
      <w:r/>
      <w:bookmarkEnd w:id="3"/>
      <w:r>
        <w:rPr>
          <w:rStyle w:val="1143"/>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3"/>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3"/>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68"/>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6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t xml:space="preserve"> </w:t>
      </w:r>
      <w:r/>
    </w:p>
    <w:p>
      <w:pPr>
        <w:pStyle w:val="1068"/>
        <w:ind w:firstLine="643"/>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b/>
          <w:bCs/>
          <w:color w:val="000000"/>
          <w:sz w:val="32"/>
          <w:szCs w:val="32"/>
          <w:highlight w:val="none"/>
        </w:rPr>
        <w:t xml:space="preserve">2026-2028年薛家道路保洁、绿化养护项目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eastAsia="zh-CN"/>
        </w:rPr>
        <w:t xml:space="preserve">2026年06月22日</w:t>
      </w:r>
      <w:r>
        <w:rPr>
          <w:rFonts w:hint="eastAsia" w:ascii="仿宋" w:hAnsi="仿宋" w:eastAsia="仿宋"/>
          <w:b/>
          <w:bCs/>
          <w:color w:val="000000"/>
          <w:sz w:val="32"/>
          <w:szCs w:val="32"/>
          <w:highlight w:val="none"/>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b/>
          <w:bCs/>
          <w:color w:val="000000"/>
          <w:sz w:val="32"/>
          <w:szCs w:val="32"/>
          <w:highlight w:val="none"/>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3"/>
        <w:jc w:val="left"/>
        <w:spacing w:before="240" w:line="360" w:lineRule="auto"/>
        <w:rPr>
          <w:rFonts w:ascii="仿宋" w:hAnsi="仿宋" w:eastAsia="仿宋"/>
          <w:color w:val="000000"/>
          <w:sz w:val="32"/>
          <w:szCs w:val="32"/>
          <w:highlight w:val="none"/>
        </w:rPr>
      </w:pPr>
      <w:r/>
      <w:bookmarkStart w:id="5" w:name="_Toc28359002"/>
      <w:r/>
      <w:bookmarkStart w:id="6" w:name="_Toc35393790"/>
      <w:r/>
      <w:bookmarkStart w:id="7" w:name="_Toc28359079"/>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JSZC-320411003-CTZB-G2026-0054</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2026-2028年薛家道路保洁、绿化养护项目</w:t>
      </w:r>
      <w:r>
        <w:rPr>
          <w:rFonts w:ascii="仿宋" w:hAnsi="仿宋" w:eastAsia="仿宋"/>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ascii="仿宋" w:hAnsi="仿宋" w:eastAsia="仿宋"/>
          <w:b/>
          <w:bCs/>
          <w:color w:val="000000"/>
          <w:sz w:val="32"/>
          <w:szCs w:val="32"/>
          <w:highlight w:val="none"/>
          <w:lang w:val="en-US" w:eastAsia="zh-CN"/>
        </w:rPr>
        <w:t xml:space="preserve">2237.7</w:t>
      </w:r>
      <w:r>
        <w:rPr>
          <w:rFonts w:hint="eastAsia" w:ascii="仿宋" w:hAnsi="仿宋" w:eastAsia="仿宋"/>
          <w:b/>
          <w:bCs/>
          <w:color w:val="000000"/>
          <w:sz w:val="32"/>
          <w:szCs w:val="32"/>
          <w:highlight w:val="none"/>
          <w:lang w:val="en-US" w:eastAsia="zh-CN"/>
        </w:rPr>
        <w:t xml:space="preserve">0</w:t>
      </w:r>
      <w:r>
        <w:rPr>
          <w:rFonts w:ascii="仿宋" w:hAnsi="仿宋" w:eastAsia="仿宋"/>
          <w:b/>
          <w:bCs/>
          <w:color w:val="000000"/>
          <w:sz w:val="32"/>
          <w:szCs w:val="32"/>
          <w:highlight w:val="none"/>
        </w:rPr>
        <w:t xml:space="preserve">万元</w:t>
      </w:r>
      <w:r>
        <w:rPr>
          <w:rFonts w:hint="eastAsia" w:ascii="仿宋" w:hAnsi="仿宋" w:eastAsia="仿宋"/>
          <w:color w:val="000000"/>
          <w:sz w:val="32"/>
          <w:szCs w:val="32"/>
          <w:highlight w:val="none"/>
        </w:rPr>
      </w:r>
      <w:r/>
    </w:p>
    <w:p>
      <w:pPr>
        <w:pStyle w:val="1068"/>
        <w:ind w:firstLine="640"/>
        <w:spacing w:line="360" w:lineRule="auto"/>
        <w:rPr>
          <w:rFonts w:ascii="仿宋" w:hAnsi="仿宋" w:eastAsia="仿宋" w:cs="Times New Roman"/>
          <w:b/>
          <w:bCs/>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ascii="仿宋" w:hAnsi="仿宋" w:eastAsia="仿宋" w:cs="Times New Roman"/>
          <w:b/>
          <w:bCs/>
          <w:color w:val="000000"/>
          <w:sz w:val="32"/>
          <w:szCs w:val="32"/>
          <w:highlight w:val="none"/>
          <w:lang w:val="en-US" w:eastAsia="zh-CN"/>
        </w:rPr>
        <w:t xml:space="preserve">745.90</w:t>
      </w:r>
      <w:r>
        <w:rPr>
          <w:rFonts w:ascii="仿宋" w:hAnsi="仿宋" w:eastAsia="仿宋" w:cs="Times New Roman"/>
          <w:b/>
          <w:bCs/>
          <w:color w:val="000000"/>
          <w:sz w:val="32"/>
          <w:szCs w:val="32"/>
          <w:highlight w:val="none"/>
        </w:rPr>
        <w:t xml:space="preserve">万</w:t>
      </w:r>
      <w:r>
        <w:rPr>
          <w:rFonts w:ascii="仿宋" w:hAnsi="仿宋" w:eastAsia="仿宋" w:cs="Times New Roman"/>
          <w:b/>
          <w:bCs/>
          <w:color w:val="000000"/>
          <w:sz w:val="32"/>
          <w:szCs w:val="32"/>
          <w:highlight w:val="none"/>
        </w:rPr>
        <w:t xml:space="preserve">元/年</w:t>
      </w:r>
      <w:r>
        <w:rPr>
          <w:rFonts w:ascii="仿宋" w:hAnsi="仿宋" w:eastAsia="仿宋" w:cs="Times New Roman"/>
          <w:b/>
          <w:bCs/>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hint="eastAsia" w:ascii="仿宋" w:hAnsi="仿宋" w:eastAsia="仿宋"/>
          <w:color w:val="000000"/>
          <w:sz w:val="32"/>
          <w:szCs w:val="32"/>
          <w:highlight w:val="none"/>
          <w:lang w:val="en-US" w:eastAsia="zh-CN"/>
        </w:rPr>
        <w:t xml:space="preserve">本项目为</w:t>
      </w:r>
      <w:r>
        <w:rPr>
          <w:rFonts w:hint="eastAsia" w:ascii="仿宋" w:hAnsi="仿宋" w:eastAsia="仿宋"/>
          <w:color w:val="000000"/>
          <w:sz w:val="32"/>
          <w:szCs w:val="32"/>
          <w:highlight w:val="none"/>
        </w:rPr>
        <w:t xml:space="preserve">薛家镇镇级道路保洁及薛家镇外围绿化、镇区绿化以及高铁高速沿线绿化养护</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68"/>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合同履行期限：服务期限为三年，合同一年一签，其中：前三个月为试用期，试用期满须经采购人考核，考核不合格，采购人有权解除合同。每年合同期满经采购人考核合格后续签下一年度合同。</w:t>
      </w:r>
      <w:r>
        <w:rPr>
          <w:rFonts w:ascii="仿宋" w:hAnsi="仿宋" w:eastAsia="仿宋"/>
          <w:color w:val="000000"/>
          <w:sz w:val="32"/>
          <w:szCs w:val="32"/>
          <w:highlight w:val="none"/>
          <w:u w:val="singl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0"/>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791"/>
      <w:r/>
      <w:bookmarkStart w:id="12" w:name="_Toc28359003"/>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68"/>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68"/>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□本项目预留部分采购项目预算专门面向中小企业采购。对于预留份额，提供的服务由符合政策要求的中小企业承接。预留份额通过以下措施进行：</w:t>
      </w:r>
      <w:r>
        <w:rPr>
          <w:rFonts w:hint="eastAsia" w:ascii="仿宋" w:hAnsi="仿宋" w:eastAsia="仿宋" w:cs="Times New Roman"/>
          <w:color w:val="000000"/>
          <w:sz w:val="32"/>
          <w:szCs w:val="32"/>
          <w:highlight w:val="none"/>
        </w:rPr>
        <w:t xml:space="preserve">获得采购合同的投标人应承诺将采购项目中不低于40%的金额分包给一家或多家中小企业。</w:t>
      </w:r>
      <w:r>
        <w:rPr>
          <w:rFonts w:ascii="仿宋" w:hAnsi="仿宋" w:eastAsia="仿宋" w:cs="Times New Roman"/>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68"/>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cs="Times New Roman"/>
          <w:i w:val="0"/>
          <w:iCs w:val="0"/>
          <w:color w:val="000000"/>
          <w:sz w:val="32"/>
          <w:szCs w:val="32"/>
          <w:highlight w:val="none"/>
          <w:u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s="Times New Roman"/>
          <w:i w:val="0"/>
          <w:iCs w:val="0"/>
          <w:color w:val="000000"/>
          <w:sz w:val="32"/>
          <w:szCs w:val="32"/>
          <w:highlight w:val="none"/>
          <w:u w:val="none"/>
        </w:rPr>
      </w:r>
      <w:r/>
    </w:p>
    <w:p>
      <w:pPr>
        <w:pStyle w:val="1070"/>
        <w:ind w:firstLine="640"/>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b w:val="0"/>
          <w:bCs/>
          <w:color w:val="000000"/>
          <w:sz w:val="32"/>
          <w:szCs w:val="32"/>
          <w:highlight w:val="none"/>
        </w:rPr>
        <w:t xml:space="preserve">3.3</w:t>
      </w:r>
      <w:r>
        <w:rPr>
          <w:rFonts w:hint="eastAsia" w:ascii="仿宋" w:hAnsi="仿宋" w:eastAsia="仿宋"/>
          <w:b w:val="0"/>
          <w:bCs/>
          <w:color w:val="000000"/>
          <w:sz w:val="32"/>
          <w:szCs w:val="32"/>
          <w:highlight w:val="none"/>
          <w:lang w:val="en-US" w:eastAsia="zh-CN"/>
        </w:rPr>
        <w:t xml:space="preserve"> </w:t>
      </w:r>
      <w:r>
        <w:rPr>
          <w:rFonts w:ascii="仿宋" w:hAnsi="仿宋" w:eastAsia="仿宋"/>
          <w:b w:val="0"/>
          <w:bCs/>
          <w:color w:val="000000"/>
          <w:sz w:val="32"/>
          <w:szCs w:val="32"/>
          <w:highlight w:val="none"/>
        </w:rPr>
        <w:t xml:space="preserve">其他特定资格要求：</w:t>
      </w:r>
      <w:r>
        <w:rPr>
          <w:rFonts w:hint="eastAsia" w:ascii="仿宋" w:hAnsi="仿宋" w:eastAsia="仿宋"/>
          <w:b w:val="0"/>
          <w:bCs/>
          <w:color w:val="000000"/>
          <w:sz w:val="32"/>
          <w:szCs w:val="32"/>
          <w:highlight w:val="none"/>
          <w:u w:val="single"/>
        </w:rPr>
        <w:t xml:space="preserve">/</w:t>
      </w:r>
      <w:r>
        <w:rPr>
          <w:rFonts w:hint="eastAsia" w:ascii="仿宋" w:hAnsi="仿宋" w:eastAsia="仿宋"/>
          <w:b w:val="0"/>
          <w:bCs/>
          <w:color w:val="000000"/>
          <w:sz w:val="32"/>
          <w:szCs w:val="32"/>
          <w:highlight w:val="none"/>
        </w:rPr>
        <w:t xml:space="preserve">。</w:t>
      </w:r>
      <w:r>
        <w:rPr>
          <w:rFonts w:ascii="仿宋" w:hAnsi="仿宋" w:eastAsia="仿宋"/>
          <w:color w:val="000000"/>
          <w:sz w:val="32"/>
          <w:szCs w:val="32"/>
          <w:highlight w:val="none"/>
        </w:rPr>
      </w:r>
      <w:r/>
    </w:p>
    <w:p>
      <w:pPr>
        <w:pStyle w:val="1070"/>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68"/>
        <w:ind w:firstLine="640"/>
        <w:spacing w:line="360" w:lineRule="auto"/>
        <w:rPr>
          <w:rFonts w:ascii="仿宋" w:hAnsi="仿宋" w:eastAsia="仿宋"/>
          <w:b/>
          <w:bCs/>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b/>
          <w:bCs/>
          <w:color w:val="000000"/>
          <w:sz w:val="32"/>
          <w:szCs w:val="32"/>
          <w:highlight w:val="none"/>
          <w:lang w:val="en-US" w:eastAsia="zh-CN" w:bidi="ar"/>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22</w:t>
      </w:r>
      <w:r>
        <w:rPr>
          <w:rFonts w:hint="eastAsia" w:ascii="仿宋" w:hAnsi="仿宋" w:eastAsia="仿宋" w:cs="宋体"/>
          <w:b/>
          <w:bCs/>
          <w:color w:val="000000"/>
          <w:sz w:val="32"/>
          <w:szCs w:val="32"/>
          <w:highlight w:val="none"/>
        </w:rPr>
        <w:t xml:space="preserve">日</w:t>
      </w:r>
      <w:r>
        <w:rPr>
          <w:rFonts w:hint="eastAsia" w:ascii="仿宋" w:hAnsi="仿宋" w:eastAsia="仿宋"/>
          <w:b/>
          <w:bCs/>
          <w:color w:val="000000"/>
          <w:sz w:val="32"/>
          <w:szCs w:val="32"/>
          <w:highlight w:val="none"/>
          <w:lang w:bidi="ar"/>
        </w:rPr>
        <w:t xml:space="preserve">至</w:t>
      </w:r>
      <w:r>
        <w:rPr>
          <w:rFonts w:hint="eastAsia" w:ascii="仿宋" w:hAnsi="仿宋" w:eastAsia="仿宋"/>
          <w:b/>
          <w:bCs/>
          <w:color w:val="000000"/>
          <w:sz w:val="32"/>
          <w:szCs w:val="32"/>
          <w:highlight w:val="none"/>
          <w:lang w:val="en-US" w:eastAsia="zh-CN" w:bidi="ar"/>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29</w:t>
      </w:r>
      <w:r>
        <w:rPr>
          <w:rFonts w:hint="eastAsia" w:ascii="仿宋" w:hAnsi="仿宋" w:eastAsia="仿宋" w:cs="宋体"/>
          <w:b/>
          <w:bCs/>
          <w:color w:val="000000"/>
          <w:sz w:val="32"/>
          <w:szCs w:val="32"/>
          <w:highlight w:val="none"/>
        </w:rPr>
        <w:t xml:space="preserve">日</w:t>
      </w:r>
      <w:r>
        <w:rPr>
          <w:rFonts w:hint="eastAsia" w:ascii="仿宋" w:hAnsi="仿宋" w:eastAsia="仿宋"/>
          <w:b/>
          <w:bCs/>
          <w:color w:val="000000"/>
          <w:sz w:val="32"/>
          <w:szCs w:val="32"/>
          <w:highlight w:val="none"/>
          <w:lang w:bidi="ar"/>
        </w:rPr>
        <w:t xml:space="preserve">。</w:t>
      </w:r>
      <w:r>
        <w:rPr>
          <w:rFonts w:ascii="仿宋" w:hAnsi="仿宋" w:eastAsia="仿宋"/>
          <w:b/>
          <w:bCs/>
          <w:color w:val="000000"/>
          <w:sz w:val="32"/>
          <w:szCs w:val="32"/>
          <w:highlight w:val="none"/>
          <w:lang w:bidi="ar"/>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68"/>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68"/>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0"/>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68"/>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eastAsia="zh-CN"/>
        </w:rPr>
        <w:t xml:space="preserve">2026年06月22日</w:t>
      </w:r>
      <w:r>
        <w:rPr>
          <w:rFonts w:hint="eastAsia" w:ascii="仿宋" w:hAnsi="仿宋" w:eastAsia="仿宋"/>
          <w:b/>
          <w:bCs/>
          <w:color w:val="000000"/>
          <w:sz w:val="32"/>
          <w:szCs w:val="32"/>
          <w:highlight w:val="none"/>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b/>
          <w:bCs/>
          <w:color w:val="000000"/>
          <w:sz w:val="32"/>
          <w:szCs w:val="32"/>
          <w:highlight w:val="none"/>
        </w:rPr>
        <w:t xml:space="preserve">00</w:t>
      </w:r>
      <w:r>
        <w:rPr>
          <w:rFonts w:hint="eastAsia" w:ascii="仿宋" w:hAnsi="仿宋" w:eastAsia="仿宋" w:cs="宋体"/>
          <w:b/>
          <w:bCs/>
          <w:color w:val="000000"/>
          <w:sz w:val="32"/>
          <w:szCs w:val="32"/>
          <w:highlight w:val="none"/>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68"/>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0"/>
        <w:ind w:firstLine="643"/>
        <w:jc w:val="left"/>
        <w:spacing w:before="0" w:line="360" w:lineRule="auto"/>
        <w:rPr>
          <w:rFonts w:ascii="仿宋" w:hAnsi="仿宋" w:eastAsia="仿宋"/>
          <w:color w:val="000000"/>
          <w:sz w:val="32"/>
          <w:szCs w:val="32"/>
          <w:highlight w:val="none"/>
        </w:rPr>
      </w:pPr>
      <w:r/>
      <w:bookmarkStart w:id="22" w:name="_Toc28359007"/>
      <w:r/>
      <w:bookmarkStart w:id="23" w:name="_Toc35393625"/>
      <w:r/>
      <w:bookmarkStart w:id="24" w:name="_Toc28359084"/>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0"/>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68"/>
        <w:ind w:firstLine="643"/>
        <w:spacing w:line="360" w:lineRule="auto"/>
        <w:rPr>
          <w:rFonts w:ascii="仿宋" w:hAnsi="仿宋" w:eastAsia="仿宋"/>
          <w:b/>
          <w:bCs/>
          <w:color w:val="000000"/>
          <w:sz w:val="32"/>
          <w:szCs w:val="32"/>
          <w:highlight w:val="none"/>
        </w:rPr>
      </w:pPr>
      <w:r>
        <w:rPr>
          <w:rFonts w:ascii="仿宋" w:hAnsi="仿宋" w:eastAsia="仿宋"/>
          <w:b/>
          <w:bCs/>
          <w:color w:val="000000"/>
          <w:sz w:val="32"/>
          <w:szCs w:val="32"/>
          <w:highlight w:val="none"/>
        </w:rPr>
        <w:t xml:space="preserve">2.本项目的采购年限为</w:t>
      </w:r>
      <w:r>
        <w:rPr>
          <w:rFonts w:hint="eastAsia" w:ascii="仿宋" w:hAnsi="仿宋" w:eastAsia="仿宋"/>
          <w:b/>
          <w:bCs/>
          <w:color w:val="000000"/>
          <w:sz w:val="32"/>
          <w:szCs w:val="32"/>
          <w:highlight w:val="none"/>
          <w:lang w:val="en-US" w:eastAsia="zh-CN"/>
        </w:rPr>
        <w:t xml:space="preserve">三</w:t>
      </w:r>
      <w:r>
        <w:rPr>
          <w:rFonts w:ascii="仿宋" w:hAnsi="仿宋" w:eastAsia="仿宋"/>
          <w:b/>
          <w:bCs/>
          <w:color w:val="000000"/>
          <w:sz w:val="32"/>
          <w:szCs w:val="32"/>
          <w:highlight w:val="none"/>
        </w:rPr>
        <w:t xml:space="preserve">年、</w:t>
      </w:r>
      <w:r>
        <w:rPr>
          <w:rFonts w:hint="eastAsia" w:ascii="仿宋" w:hAnsi="仿宋" w:eastAsia="仿宋"/>
          <w:b/>
          <w:bCs/>
          <w:color w:val="000000"/>
          <w:sz w:val="32"/>
          <w:szCs w:val="32"/>
          <w:highlight w:val="none"/>
        </w:rPr>
        <w:t xml:space="preserve">预算</w:t>
      </w:r>
      <w:r>
        <w:rPr>
          <w:rFonts w:ascii="仿宋" w:hAnsi="仿宋" w:eastAsia="仿宋"/>
          <w:b/>
          <w:bCs/>
          <w:color w:val="000000"/>
          <w:sz w:val="32"/>
          <w:szCs w:val="32"/>
          <w:highlight w:val="none"/>
        </w:rPr>
        <w:t xml:space="preserve">金额为</w:t>
      </w:r>
      <w:r>
        <w:rPr>
          <w:rFonts w:ascii="仿宋" w:hAnsi="仿宋" w:eastAsia="仿宋"/>
          <w:b/>
          <w:bCs/>
          <w:color w:val="000000"/>
          <w:sz w:val="32"/>
          <w:szCs w:val="32"/>
          <w:highlight w:val="none"/>
          <w:lang w:val="en-US" w:eastAsia="zh-CN"/>
        </w:rPr>
        <w:t xml:space="preserve">2237.7</w:t>
      </w:r>
      <w:r>
        <w:rPr>
          <w:rFonts w:hint="eastAsia" w:ascii="仿宋" w:hAnsi="仿宋" w:eastAsia="仿宋"/>
          <w:b/>
          <w:bCs/>
          <w:color w:val="000000"/>
          <w:sz w:val="32"/>
          <w:szCs w:val="32"/>
          <w:highlight w:val="none"/>
          <w:lang w:val="en-US" w:eastAsia="zh-CN"/>
        </w:rPr>
        <w:t xml:space="preserve">0</w:t>
      </w:r>
      <w:r>
        <w:rPr>
          <w:rFonts w:ascii="仿宋" w:hAnsi="仿宋" w:eastAsia="仿宋"/>
          <w:b/>
          <w:bCs/>
          <w:color w:val="000000"/>
          <w:sz w:val="32"/>
          <w:szCs w:val="32"/>
          <w:highlight w:val="none"/>
        </w:rPr>
        <w:t xml:space="preserve">万元、当年安排数为</w:t>
      </w:r>
      <w:r>
        <w:rPr>
          <w:rFonts w:hint="eastAsia" w:ascii="仿宋" w:hAnsi="仿宋" w:eastAsia="仿宋"/>
          <w:b/>
          <w:bCs/>
          <w:color w:val="000000"/>
          <w:sz w:val="32"/>
          <w:szCs w:val="32"/>
          <w:highlight w:val="none"/>
          <w:lang w:val="en-US" w:eastAsia="zh-CN"/>
        </w:rPr>
        <w:t xml:space="preserve">745.90</w:t>
      </w:r>
      <w:r>
        <w:rPr>
          <w:rFonts w:ascii="仿宋" w:hAnsi="仿宋" w:eastAsia="仿宋"/>
          <w:b/>
          <w:bCs/>
          <w:color w:val="000000"/>
          <w:sz w:val="32"/>
          <w:szCs w:val="32"/>
          <w:highlight w:val="none"/>
        </w:rPr>
        <w:t xml:space="preserve">万元。</w:t>
      </w:r>
      <w:r>
        <w:rPr>
          <w:rFonts w:ascii="仿宋" w:hAnsi="仿宋" w:eastAsia="仿宋"/>
          <w:b/>
          <w:bCs/>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3.根据省财政厅《关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6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6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4.关于常州市中小企业政府采购信用融资：</w:t>
      </w:r>
      <w:r>
        <w:rPr>
          <w:rFonts w:ascii="仿宋" w:hAnsi="仿宋" w:eastAsia="仿宋"/>
          <w:color w:val="000000"/>
          <w:sz w:val="32"/>
          <w:szCs w:val="32"/>
          <w:highlight w:val="none"/>
          <w:lang w:val="zh-TW" w:bidi="ar"/>
        </w:rPr>
      </w:r>
      <w:r/>
    </w:p>
    <w:p>
      <w:pPr>
        <w:pStyle w:val="106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0"/>
        <w:ind w:firstLine="643"/>
        <w:jc w:val="left"/>
        <w:spacing w:before="0" w:line="360" w:lineRule="auto"/>
        <w:rPr>
          <w:rFonts w:ascii="仿宋" w:hAnsi="仿宋" w:eastAsia="仿宋"/>
          <w:color w:val="000000"/>
          <w:sz w:val="32"/>
          <w:szCs w:val="32"/>
          <w:highlight w:val="none"/>
        </w:rPr>
      </w:pPr>
      <w:r/>
      <w:bookmarkStart w:id="28" w:name="_Toc35393627"/>
      <w:r/>
      <w:bookmarkStart w:id="29" w:name="_Toc35393796"/>
      <w:r/>
      <w:bookmarkStart w:id="30" w:name="_Toc28359008"/>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68"/>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68"/>
        <w:ind w:firstLine="640"/>
        <w:spacing w:line="360" w:lineRule="auto"/>
        <w:rPr>
          <w:rFonts w:hint="eastAsia" w:ascii="仿宋" w:hAnsi="仿宋" w:eastAsia="仿宋" w:cs="Times New Roman"/>
          <w:color w:val="000000"/>
          <w:sz w:val="32"/>
          <w:szCs w:val="32"/>
          <w:highlight w:val="none"/>
        </w:rPr>
      </w:pPr>
      <w:r/>
      <w:bookmarkStart w:id="32" w:name="_Toc28359086"/>
      <w:r/>
      <w:bookmarkStart w:id="33" w:name="_Toc28359009"/>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常州市新北区薛家镇人民政府</w:t>
      </w:r>
      <w:r>
        <w:rPr>
          <w:rFonts w:hint="eastAsia" w:ascii="仿宋" w:hAnsi="仿宋" w:eastAsia="仿宋" w:cs="Times New Roman"/>
          <w:color w:val="000000"/>
          <w:sz w:val="32"/>
          <w:szCs w:val="32"/>
          <w:highlight w:val="none"/>
        </w:rPr>
      </w:r>
      <w:r/>
    </w:p>
    <w:p>
      <w:pPr>
        <w:pStyle w:val="1068"/>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w:t>
      </w:r>
      <w:r>
        <w:rPr>
          <w:rFonts w:hint="eastAsia" w:ascii="仿宋" w:hAnsi="仿宋" w:eastAsia="仿宋" w:cs="Times New Roman"/>
          <w:color w:val="000000"/>
          <w:sz w:val="32"/>
          <w:szCs w:val="32"/>
          <w:highlight w:val="none"/>
          <w:lang w:val="en-US" w:eastAsia="zh-CN"/>
        </w:rPr>
        <w:t xml:space="preserve">常州市新北区黄河西路268号</w:t>
      </w:r>
      <w:r>
        <w:rPr>
          <w:rFonts w:ascii="仿宋" w:hAnsi="仿宋" w:eastAsia="仿宋" w:cs="Times New Roman"/>
          <w:color w:val="000000"/>
          <w:sz w:val="32"/>
          <w:szCs w:val="32"/>
          <w:highlight w:val="none"/>
          <w:lang w:val="en-US" w:eastAsia="zh-CN"/>
        </w:rPr>
        <w:t xml:space="preserve"> </w:t>
      </w:r>
      <w:r>
        <w:rPr>
          <w:rFonts w:hint="eastAsia" w:ascii="仿宋" w:hAnsi="仿宋" w:eastAsia="仿宋" w:cs="Times New Roman"/>
          <w:color w:val="000000"/>
          <w:sz w:val="32"/>
          <w:szCs w:val="32"/>
          <w:highlight w:val="none"/>
        </w:rPr>
      </w:r>
      <w:r/>
    </w:p>
    <w:p>
      <w:pPr>
        <w:pStyle w:val="1068"/>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联系方式：</w:t>
      </w:r>
      <w:r>
        <w:rPr>
          <w:rFonts w:hint="eastAsia" w:ascii="仿宋" w:hAnsi="仿宋" w:eastAsia="仿宋" w:cs="Times New Roman"/>
          <w:color w:val="000000"/>
          <w:sz w:val="32"/>
          <w:szCs w:val="32"/>
          <w:highlight w:val="none"/>
          <w:lang w:val="en-US" w:eastAsia="zh-CN"/>
        </w:rPr>
        <w:t xml:space="preserve">高先生 0519-85960851  </w:t>
      </w:r>
      <w:r>
        <w:rPr>
          <w:rFonts w:hint="eastAsia" w:ascii="仿宋" w:hAnsi="仿宋" w:eastAsia="仿宋" w:cs="Times New Roman"/>
          <w:color w:val="000000"/>
          <w:sz w:val="32"/>
          <w:szCs w:val="32"/>
          <w:highlight w:val="none"/>
        </w:rPr>
      </w:r>
      <w:r/>
    </w:p>
    <w:p>
      <w:pPr>
        <w:pStyle w:val="1068"/>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68"/>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68"/>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袁  婷</w:t>
      </w:r>
      <w:r>
        <w:rPr>
          <w:rFonts w:hint="eastAsia" w:ascii="仿宋" w:hAnsi="仿宋" w:eastAsia="仿宋"/>
          <w:color w:val="000000"/>
          <w:sz w:val="32"/>
          <w:szCs w:val="32"/>
          <w:highlight w:val="none"/>
          <w:lang w:val="en-US" w:eastAsia="zh-CN"/>
        </w:rPr>
      </w:r>
      <w:r/>
    </w:p>
    <w:p>
      <w:pPr>
        <w:pStyle w:val="1068"/>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6013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68"/>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64969275"/>
      <w:r/>
      <w:bookmarkStart w:id="37" w:name="_Toc127151777"/>
      <w:r/>
      <w:bookmarkStart w:id="38" w:name="_Toc99301420"/>
      <w:r/>
      <w:bookmarkStart w:id="39" w:name="_Toc150774783"/>
      <w:r/>
      <w:bookmarkStart w:id="40" w:name="_Toc127161488"/>
      <w:r/>
      <w:bookmarkStart w:id="41" w:name="_Toc512937850"/>
      <w:r/>
      <w:bookmarkStart w:id="42" w:name="_Toc226965856"/>
      <w:r/>
      <w:bookmarkStart w:id="43" w:name="_Toc195842950"/>
      <w:r/>
      <w:bookmarkStart w:id="44" w:name="_Toc305158928"/>
      <w:r/>
      <w:bookmarkStart w:id="45" w:name="_Toc305158854"/>
      <w:r/>
      <w:bookmarkStart w:id="46" w:name="_Toc265228423"/>
      <w:r/>
      <w:bookmarkStart w:id="47" w:name="_Toc353873938"/>
      <w:r/>
      <w:bookmarkStart w:id="48" w:name="_Toc35382554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0"/>
        <w:spacing w:before="0" w:line="360" w:lineRule="auto"/>
        <w:tabs>
          <w:tab w:val="center" w:pos="4592" w:leader="none"/>
          <w:tab w:val="left" w:pos="7860" w:leader="none"/>
        </w:tabs>
        <w:rPr>
          <w:rFonts w:ascii="宋体" w:hAnsi="宋体" w:eastAsia="宋体"/>
          <w:color w:val="000000"/>
          <w:sz w:val="28"/>
          <w:highlight w:val="none"/>
        </w:rPr>
      </w:pPr>
      <w:r/>
      <w:bookmarkStart w:id="49" w:name="_Toc127161433"/>
      <w:r/>
      <w:bookmarkStart w:id="50" w:name="_Toc151193833"/>
      <w:r/>
      <w:bookmarkStart w:id="51" w:name="_Toc164608633"/>
      <w:r/>
      <w:bookmarkStart w:id="52" w:name="_Toc127151519"/>
      <w:r/>
      <w:bookmarkStart w:id="53" w:name="_Toc142311021"/>
      <w:r/>
      <w:bookmarkStart w:id="54" w:name="_Toc164229360"/>
      <w:r/>
      <w:bookmarkStart w:id="55" w:name="_Toc226309763"/>
      <w:r/>
      <w:bookmarkStart w:id="56" w:name="_Toc195842884"/>
      <w:r/>
      <w:bookmarkStart w:id="57" w:name="_Toc149720812"/>
      <w:r/>
      <w:bookmarkStart w:id="58" w:name="_Toc164229214"/>
      <w:r/>
      <w:bookmarkStart w:id="59" w:name="_Toc150774619"/>
      <w:r/>
      <w:bookmarkStart w:id="60" w:name="_Toc150480757"/>
      <w:r/>
      <w:bookmarkStart w:id="61" w:name="_Toc150509270"/>
      <w:r/>
      <w:bookmarkStart w:id="62" w:name="_Toc226965792"/>
      <w:r/>
      <w:bookmarkStart w:id="63" w:name="_Toc151193761"/>
      <w:r/>
      <w:bookmarkStart w:id="64" w:name="_Toc164351613"/>
      <w:r/>
      <w:bookmarkStart w:id="65" w:name="_Toc151193689"/>
      <w:r/>
      <w:bookmarkStart w:id="66" w:name="_Toc151193907"/>
      <w:r/>
      <w:bookmarkStart w:id="67" w:name="_Toc164608788"/>
      <w:r/>
      <w:bookmarkStart w:id="68" w:name="_Toc226965709"/>
      <w:r/>
      <w:bookmarkStart w:id="69" w:name="_Toc127151720"/>
      <w:r/>
      <w:bookmarkStart w:id="70" w:name="_Toc151190146"/>
      <w:r/>
      <w:bookmarkStart w:id="71" w:name="_Toc226337215"/>
      <w:r/>
      <w:bookmarkStart w:id="72" w:name="_Toc150774724"/>
      <w:r/>
      <w:bookmarkStart w:id="73" w:name="_Toc151193617"/>
      <w:r/>
      <w:bookmarkStart w:id="74" w:name="_Toc52035614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68"/>
        <w:jc w:val="center"/>
        <w:rPr>
          <w:rFonts w:ascii="宋体" w:hAnsi="宋体"/>
          <w:b/>
          <w:color w:val="000000"/>
          <w:sz w:val="28"/>
          <w:szCs w:val="28"/>
          <w:highlight w:val="none"/>
        </w:rPr>
      </w:pPr>
      <w:r>
        <w:rPr>
          <w:rFonts w:ascii="宋体" w:hAnsi="宋体"/>
          <w:b/>
          <w:color w:val="000000"/>
          <w:sz w:val="28"/>
          <w:szCs w:val="28"/>
          <w:highlight w:val="none"/>
        </w:rPr>
      </w:r>
      <w:r/>
    </w:p>
    <w:p>
      <w:pPr>
        <w:pStyle w:val="10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8"/>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6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6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7"/>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7"/>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68"/>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68"/>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7"/>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eastAsia="宋体" w:cs="宋体"/>
                <w:b/>
                <w:bCs/>
                <w:color w:val="000000"/>
                <w:sz w:val="24"/>
                <w:highlight w:val="none"/>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68"/>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68"/>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ascii="Wingdings 2" w:hAnsi="Wingdings 2" w:eastAsia="Wingdings 2" w:cs="Wingdings 2"/>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70"/>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355"/>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06</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01</w:t>
            </w:r>
            <w:r>
              <w:rPr>
                <w:rFonts w:hint="eastAsia" w:ascii="宋体" w:hAnsi="宋体" w:cs="宋体"/>
                <w:b/>
                <w:bCs/>
                <w:color w:val="000000"/>
                <w:sz w:val="24"/>
                <w:highlight w:val="none"/>
              </w:rPr>
              <w:t xml:space="preserve">日11点00分（北京时间）</w:t>
            </w:r>
            <w:r>
              <w:rPr>
                <w:rFonts w:hint="eastAsia" w:ascii="宋体" w:hAnsi="宋体" w:cs="宋体"/>
                <w:color w:val="000000"/>
                <w:sz w:val="24"/>
                <w:highlight w:val="none"/>
              </w:rPr>
              <w:t xml:space="preserve">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■因采购人预算金额包含代理费，本项目向中标人收取代理费</w:t>
            </w:r>
            <w:r>
              <w:rPr>
                <w:rFonts w:hint="eastAsia" w:ascii="宋体" w:hAnsi="宋体" w:cs="宋体"/>
                <w:color w:val="000000"/>
                <w:sz w:val="24"/>
                <w:highlight w:val="none"/>
              </w:rPr>
            </w:r>
            <w:r/>
          </w:p>
          <w:p>
            <w:pPr>
              <w:pStyle w:val="1068"/>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68"/>
                    <w:ind w:firstLine="945"/>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highlight w:val="none"/>
                    </w:rPr>
                    <w:t xml:space="preserve">服</w:t>
                  </w:r>
                  <w:r>
                    <w:rPr>
                      <w:rFonts w:hint="eastAsia" w:ascii="宋体" w:hAnsi="宋体" w:cs="宋体"/>
                      <w:bCs/>
                      <w:color w:val="000000"/>
                      <w:sz w:val="24"/>
                      <w:highlight w:val="none"/>
                    </w:rPr>
                  </w:r>
                  <w:r/>
                </w:p>
                <w:p>
                  <w:pPr>
                    <w:pStyle w:val="1068"/>
                    <w:ind w:firstLine="24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费　　　   务</w:t>
                  </w:r>
                  <w:r>
                    <w:rPr>
                      <w:rFonts w:hint="eastAsia" w:ascii="宋体" w:hAnsi="宋体" w:cs="宋体"/>
                      <w:bCs/>
                      <w:color w:val="000000"/>
                      <w:sz w:val="24"/>
                      <w:highlight w:val="none"/>
                    </w:rPr>
                  </w:r>
                  <w:r/>
                </w:p>
                <w:p>
                  <w:pPr>
                    <w:pStyle w:val="1068"/>
                    <w:ind w:firstLine="1260"/>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highlight w:val="none"/>
                    </w:rPr>
                    <w:t xml:space="preserve">　   类</w:t>
                  </w:r>
                  <w:r>
                    <w:rPr>
                      <w:rFonts w:hint="eastAsia" w:ascii="宋体" w:hAnsi="宋体" w:cs="宋体"/>
                      <w:bCs/>
                      <w:color w:val="000000"/>
                      <w:sz w:val="24"/>
                      <w:highlight w:val="none"/>
                    </w:rPr>
                  </w:r>
                  <w:r/>
                </w:p>
                <w:p>
                  <w:pPr>
                    <w:pStyle w:val="1068"/>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率　       型</w:t>
                  </w:r>
                  <w:r>
                    <w:rPr>
                      <w:rFonts w:hint="eastAsia" w:ascii="宋体" w:hAnsi="宋体" w:cs="宋体"/>
                      <w:bCs/>
                      <w:color w:val="000000"/>
                      <w:sz w:val="24"/>
                      <w:highlight w:val="none"/>
                    </w:rPr>
                  </w:r>
                  <w:r/>
                </w:p>
                <w:p>
                  <w:pPr>
                    <w:pStyle w:val="1068"/>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6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成交金额（万元）</w:t>
                  </w:r>
                  <w:r>
                    <w:rPr>
                      <w:rFonts w:hint="eastAsia" w:ascii="宋体" w:hAnsi="宋体" w:cs="宋体"/>
                      <w:bCs/>
                      <w:color w:val="000000"/>
                      <w:sz w:val="24"/>
                      <w:highlight w:val="none"/>
                    </w:rPr>
                  </w:r>
                  <w:r/>
                </w:p>
              </w:tc>
              <w:tc>
                <w:tcPr>
                  <w:tcW w:w="2407" w:type="dxa"/>
                  <w:vAlign w:val="center"/>
                  <w:textDirection w:val="lrTb"/>
                  <w:noWrap w:val="false"/>
                </w:tcPr>
                <w:p>
                  <w:pPr>
                    <w:pStyle w:val="1068"/>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服务类</w:t>
                  </w:r>
                  <w:r>
                    <w:rPr>
                      <w:rFonts w:hint="eastAsia" w:ascii="宋体" w:hAnsi="宋体" w:cs="宋体"/>
                      <w:bCs/>
                      <w:color w:val="000000"/>
                      <w:sz w:val="24"/>
                      <w:highlight w:val="none"/>
                    </w:rPr>
                  </w:r>
                  <w:r/>
                </w:p>
              </w:tc>
            </w:tr>
            <w:tr>
              <w:trPr/>
              <w:tc>
                <w:tcPr>
                  <w:tcW w:w="3023"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100（含，下同）以下</w:t>
                  </w:r>
                  <w:r>
                    <w:rPr>
                      <w:rFonts w:hint="eastAsia" w:ascii="宋体" w:hAnsi="宋体" w:cs="宋体"/>
                      <w:color w:val="000000"/>
                      <w:sz w:val="24"/>
                      <w:highlight w:val="none"/>
                    </w:rPr>
                  </w:r>
                  <w:r/>
                </w:p>
              </w:tc>
              <w:tc>
                <w:tcPr>
                  <w:tcW w:w="2407"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r>
            <w:tr>
              <w:trPr/>
              <w:tc>
                <w:tcPr>
                  <w:tcW w:w="3023"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100-500</w:t>
                  </w:r>
                  <w:r>
                    <w:rPr>
                      <w:rFonts w:hint="eastAsia" w:ascii="宋体" w:hAnsi="宋体" w:cs="宋体"/>
                      <w:color w:val="000000"/>
                      <w:sz w:val="24"/>
                      <w:highlight w:val="none"/>
                    </w:rPr>
                  </w:r>
                  <w:r/>
                </w:p>
              </w:tc>
              <w:tc>
                <w:tcPr>
                  <w:tcW w:w="2407"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0.8%</w:t>
                  </w:r>
                  <w:r>
                    <w:rPr>
                      <w:rFonts w:hint="eastAsia" w:ascii="宋体" w:hAnsi="宋体" w:cs="宋体"/>
                      <w:color w:val="000000"/>
                      <w:sz w:val="24"/>
                      <w:highlight w:val="none"/>
                    </w:rPr>
                  </w:r>
                  <w:r/>
                </w:p>
              </w:tc>
            </w:tr>
            <w:tr>
              <w:trPr/>
              <w:tc>
                <w:tcPr>
                  <w:tcW w:w="3023" w:type="dxa"/>
                  <w:vAlign w:val="center"/>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500—1000</w:t>
                  </w:r>
                  <w:r>
                    <w:rPr>
                      <w:rFonts w:hint="eastAsia" w:ascii="宋体" w:hAnsi="宋体" w:cs="宋体"/>
                      <w:color w:val="000000"/>
                      <w:sz w:val="24"/>
                      <w:highlight w:val="none"/>
                    </w:rPr>
                  </w:r>
                  <w:r/>
                </w:p>
              </w:tc>
              <w:tc>
                <w:tcPr>
                  <w:tcW w:w="2407" w:type="dxa"/>
                  <w:vAlign w:val="center"/>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0.45%</w:t>
                  </w:r>
                  <w:r>
                    <w:rPr>
                      <w:rFonts w:hint="eastAsia" w:ascii="宋体" w:hAnsi="宋体" w:cs="宋体"/>
                      <w:color w:val="000000"/>
                      <w:sz w:val="24"/>
                      <w:highlight w:val="none"/>
                    </w:rPr>
                  </w:r>
                  <w:r/>
                </w:p>
              </w:tc>
            </w:tr>
            <w:tr>
              <w:trPr/>
              <w:tc>
                <w:tcPr>
                  <w:tcW w:w="3023" w:type="dxa"/>
                  <w:vAlign w:val="top"/>
                  <w:textDirection w:val="lrTb"/>
                  <w:noWrap w:val="false"/>
                </w:tcPr>
                <w:p>
                  <w:pPr>
                    <w:pStyle w:val="106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7" w:type="dxa"/>
                  <w:vAlign w:val="top"/>
                  <w:textDirection w:val="lrTb"/>
                  <w:noWrap w:val="false"/>
                </w:tcPr>
                <w:p>
                  <w:pPr>
                    <w:pStyle w:val="106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bl>
          <w:p>
            <w:pPr>
              <w:pStyle w:val="106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68"/>
              <w:ind w:firstLine="482"/>
              <w:jc w:val="left"/>
              <w:rPr>
                <w:rFonts w:hint="eastAsia" w:ascii="宋体" w:hAnsi="宋体" w:cs="宋体"/>
                <w:b/>
                <w:color w:val="000000"/>
                <w:sz w:val="24"/>
                <w:highlight w:val="none"/>
              </w:rPr>
            </w:pPr>
            <w:r>
              <w:rPr>
                <w:rFonts w:hint="eastAsia" w:ascii="宋体" w:hAnsi="宋体" w:cs="宋体"/>
                <w:b/>
                <w:bCs/>
                <w:color w:val="000000"/>
                <w:sz w:val="24"/>
                <w:highlight w:val="none"/>
              </w:rPr>
              <w:t xml:space="preserve">每年</w:t>
            </w:r>
            <w:r>
              <w:rPr>
                <w:rFonts w:hint="eastAsia" w:ascii="宋体" w:hAnsi="宋体" w:cs="宋体"/>
                <w:color w:val="000000"/>
                <w:sz w:val="24"/>
                <w:highlight w:val="none"/>
              </w:rPr>
              <w:t xml:space="preserve">代理费</w:t>
            </w:r>
            <w:r>
              <w:rPr>
                <w:rFonts w:hint="eastAsia" w:ascii="宋体" w:hAnsi="宋体" w:cs="宋体"/>
                <w:b/>
                <w:color w:val="000000"/>
                <w:sz w:val="24"/>
                <w:highlight w:val="none"/>
              </w:rPr>
              <w:t xml:space="preserve">按照上述标准收取。</w:t>
            </w:r>
            <w:r>
              <w:rPr>
                <w:rFonts w:hint="eastAsia" w:ascii="宋体" w:hAnsi="宋体" w:cs="宋体"/>
                <w:b/>
                <w:color w:val="000000"/>
                <w:sz w:val="24"/>
                <w:highlight w:val="none"/>
              </w:rPr>
            </w:r>
            <w:r/>
          </w:p>
          <w:p>
            <w:pPr>
              <w:pStyle w:val="106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b/>
                <w:color w:val="000000"/>
                <w:sz w:val="24"/>
                <w:highlight w:val="none"/>
              </w:rPr>
              <w:t xml:space="preserve">（3）缴纳时间：</w:t>
            </w:r>
            <w:r>
              <w:rPr>
                <w:rFonts w:hint="eastAsia" w:ascii="宋体" w:hAnsi="宋体" w:cs="宋体"/>
                <w:color w:val="000000"/>
                <w:sz w:val="24"/>
                <w:highlight w:val="none"/>
              </w:rPr>
              <w:t xml:space="preserve">中标人应在领取中标通知书时将</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代理费支付至常州市城投建设工程招标有限公司账户。</w:t>
            </w:r>
            <w:r>
              <w:rPr>
                <w:rFonts w:hint="eastAsia" w:ascii="宋体" w:hAnsi="宋体" w:cs="宋体"/>
                <w:color w:val="000000"/>
                <w:sz w:val="24"/>
                <w:highlight w:val="none"/>
              </w:rPr>
            </w:r>
            <w:r/>
          </w:p>
          <w:p>
            <w:pPr>
              <w:pStyle w:val="106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6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6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68"/>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68"/>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68"/>
        <w:jc w:val="center"/>
        <w:spacing w:before="240" w:after="240"/>
        <w:rPr>
          <w:rFonts w:hint="eastAsia" w:ascii="宋体" w:hAnsi="宋体" w:cs="宋体"/>
          <w:b/>
          <w:color w:val="000000"/>
          <w:sz w:val="28"/>
          <w:szCs w:val="28"/>
          <w:highlight w:val="none"/>
        </w:rPr>
      </w:pPr>
      <w:r/>
      <w:bookmarkStart w:id="75" w:name="_Toc127151517"/>
      <w:r/>
      <w:bookmarkStart w:id="76" w:name="_Toc226965790"/>
      <w:r/>
      <w:bookmarkStart w:id="77" w:name="_Toc353873662"/>
      <w:r/>
      <w:bookmarkStart w:id="78" w:name="_Toc353873932"/>
      <w:r/>
      <w:bookmarkStart w:id="79" w:name="_Toc195842882"/>
      <w:r/>
      <w:bookmarkStart w:id="80" w:name="_Toc226337213"/>
      <w:r/>
      <w:bookmarkStart w:id="81" w:name="_Toc150480755"/>
      <w:r/>
      <w:bookmarkStart w:id="82" w:name="_Toc305158785"/>
      <w:r/>
      <w:bookmarkStart w:id="83" w:name="_Toc353825542"/>
      <w:r/>
      <w:bookmarkStart w:id="84" w:name="_Toc265228355"/>
      <w:r/>
      <w:bookmarkStart w:id="85" w:name="_Toc150774722"/>
      <w:r/>
      <w:bookmarkStart w:id="86" w:name="_Toc264969207"/>
      <w:r/>
      <w:bookmarkStart w:id="87" w:name="_Toc305158859"/>
      <w:r/>
      <w:bookmarkStart w:id="88" w:name="_Toc142311019"/>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0"/>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0774723"/>
      <w:r/>
      <w:bookmarkStart w:id="92" w:name="_Toc151193688"/>
      <w:r/>
      <w:bookmarkStart w:id="93" w:name="_Toc150774618"/>
      <w:r/>
      <w:bookmarkStart w:id="94" w:name="_Toc151193760"/>
      <w:r/>
      <w:bookmarkStart w:id="95" w:name="_Toc151190145"/>
      <w:r/>
      <w:bookmarkStart w:id="96" w:name="_Toc151193616"/>
      <w:r/>
      <w:bookmarkStart w:id="97" w:name="_Toc226309762"/>
      <w:r/>
      <w:bookmarkStart w:id="98" w:name="_Toc226337214"/>
      <w:r/>
      <w:bookmarkStart w:id="99" w:name="_Toc151193906"/>
      <w:r/>
      <w:bookmarkStart w:id="100" w:name="_Toc150480756"/>
      <w:r/>
      <w:bookmarkStart w:id="101" w:name="_Toc195842883"/>
      <w:r/>
      <w:bookmarkStart w:id="102" w:name="_Toc305158786"/>
      <w:r/>
      <w:bookmarkStart w:id="103" w:name="_Toc226965791"/>
      <w:r/>
      <w:bookmarkStart w:id="104" w:name="_Toc226965708"/>
      <w:r/>
      <w:bookmarkStart w:id="105" w:name="_Toc151193832"/>
      <w:r/>
      <w:bookmarkStart w:id="106" w:name="_Toc305158860"/>
      <w:r/>
      <w:bookmarkStart w:id="107" w:name="_Toc264969208"/>
      <w:r/>
      <w:bookmarkStart w:id="108" w:name="_Toc265228356"/>
      <w:r/>
      <w:bookmarkStart w:id="109" w:name="_Toc150509269"/>
      <w:r/>
      <w:bookmarkStart w:id="110" w:name="_Toc142311020"/>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265228357"/>
      <w:r/>
      <w:bookmarkStart w:id="113" w:name="_Toc305158787"/>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229361"/>
      <w:r/>
      <w:bookmarkStart w:id="116" w:name="_Toc127151721"/>
      <w:r/>
      <w:bookmarkStart w:id="117" w:name="_Toc164351614"/>
      <w:r/>
      <w:bookmarkStart w:id="118" w:name="_Toc305158788"/>
      <w:r/>
      <w:bookmarkStart w:id="119" w:name="_Toc149720813"/>
      <w:r/>
      <w:bookmarkStart w:id="120" w:name="_Toc151190147"/>
      <w:r/>
      <w:bookmarkStart w:id="121" w:name="_Toc164608634"/>
      <w:r/>
      <w:bookmarkStart w:id="122" w:name="_Toc226965793"/>
      <w:r/>
      <w:bookmarkStart w:id="123" w:name="_Toc150774725"/>
      <w:r/>
      <w:bookmarkStart w:id="124" w:name="_Toc127161434"/>
      <w:r/>
      <w:bookmarkStart w:id="125" w:name="_Toc226309764"/>
      <w:r/>
      <w:bookmarkStart w:id="126" w:name="_Toc164608789"/>
      <w:r/>
      <w:bookmarkStart w:id="127" w:name="_Toc226965710"/>
      <w:r/>
      <w:bookmarkStart w:id="128" w:name="_Toc265228358"/>
      <w:r/>
      <w:bookmarkStart w:id="129" w:name="_Toc195842885"/>
      <w:r/>
      <w:bookmarkStart w:id="130" w:name="_Toc151193908"/>
      <w:r/>
      <w:bookmarkStart w:id="131" w:name="_Toc151193618"/>
      <w:r/>
      <w:bookmarkStart w:id="132" w:name="_Toc305158862"/>
      <w:r/>
      <w:bookmarkStart w:id="133" w:name="_Toc150480758"/>
      <w:r/>
      <w:bookmarkStart w:id="134" w:name="_Toc142311022"/>
      <w:r/>
      <w:bookmarkStart w:id="135" w:name="_Toc150509271"/>
      <w:r/>
      <w:bookmarkStart w:id="136" w:name="_Toc151193690"/>
      <w:r/>
      <w:bookmarkStart w:id="137" w:name="_Toc264969210"/>
      <w:r/>
      <w:bookmarkStart w:id="138" w:name="_Toc151193762"/>
      <w:r/>
      <w:bookmarkStart w:id="139" w:name="_Toc226337216"/>
      <w:r/>
      <w:bookmarkStart w:id="140" w:name="_Toc151193834"/>
      <w:r/>
      <w:bookmarkStart w:id="141" w:name="_Toc127151520"/>
      <w:r/>
      <w:bookmarkStart w:id="142" w:name="_Toc164229215"/>
      <w:r/>
      <w:bookmarkStart w:id="143" w:name="_Toc150774620"/>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0774727"/>
      <w:r/>
      <w:bookmarkStart w:id="145" w:name="_Toc151193910"/>
      <w:r/>
      <w:bookmarkStart w:id="146" w:name="_Toc151193692"/>
      <w:r/>
      <w:bookmarkStart w:id="147" w:name="_Toc142311024"/>
      <w:r/>
      <w:bookmarkStart w:id="148" w:name="_Toc150480760"/>
      <w:r/>
      <w:bookmarkStart w:id="149" w:name="_Toc305158864"/>
      <w:r/>
      <w:bookmarkStart w:id="150" w:name="_Toc226965795"/>
      <w:r/>
      <w:bookmarkStart w:id="151" w:name="_Toc264969212"/>
      <w:r/>
      <w:bookmarkStart w:id="152" w:name="_Toc226337218"/>
      <w:r/>
      <w:bookmarkStart w:id="153" w:name="_Toc151193836"/>
      <w:r/>
      <w:bookmarkStart w:id="154" w:name="_Toc226309766"/>
      <w:r/>
      <w:bookmarkStart w:id="155" w:name="_Toc151190149"/>
      <w:r/>
      <w:bookmarkStart w:id="156" w:name="_Toc195842887"/>
      <w:r/>
      <w:bookmarkStart w:id="157" w:name="_Toc151193620"/>
      <w:r/>
      <w:bookmarkStart w:id="158" w:name="_Toc520356146"/>
      <w:r/>
      <w:bookmarkStart w:id="159" w:name="_Toc226965712"/>
      <w:r/>
      <w:bookmarkStart w:id="160" w:name="_Toc305158790"/>
      <w:r/>
      <w:bookmarkStart w:id="161" w:name="_Toc151193764"/>
      <w:r/>
      <w:bookmarkStart w:id="162" w:name="_Toc150774622"/>
      <w:r/>
      <w:bookmarkStart w:id="163" w:name="_Toc150509273"/>
      <w:r/>
      <w:bookmarkStart w:id="164" w:name="_Toc265228360"/>
      <w:r/>
      <w:bookmarkStart w:id="165" w:name="_Toc127151522"/>
      <w:r>
        <w:rPr>
          <w:rFonts w:hint="eastAsia" w:ascii="宋体" w:hAnsi="宋体" w:cs="宋体"/>
          <w:color w:val="000000"/>
          <w:sz w:val="28"/>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68"/>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6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6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6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2"/>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68"/>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6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6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68"/>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6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68"/>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264969213"/>
      <w:r/>
      <w:bookmarkStart w:id="168" w:name="_Toc164608637"/>
      <w:r/>
      <w:bookmarkStart w:id="169" w:name="_Toc164351617"/>
      <w:r/>
      <w:bookmarkStart w:id="170" w:name="_Toc151193693"/>
      <w:r/>
      <w:bookmarkStart w:id="171" w:name="_Toc305158865"/>
      <w:r/>
      <w:bookmarkStart w:id="172" w:name="_Toc150774623"/>
      <w:r/>
      <w:bookmarkStart w:id="173" w:name="_Toc305158791"/>
      <w:r/>
      <w:bookmarkStart w:id="174" w:name="_Toc127151724"/>
      <w:r/>
      <w:bookmarkStart w:id="175" w:name="_Toc195842888"/>
      <w:r/>
      <w:bookmarkStart w:id="176" w:name="_Toc151193621"/>
      <w:r/>
      <w:bookmarkStart w:id="177" w:name="_Toc226965796"/>
      <w:r/>
      <w:bookmarkStart w:id="178" w:name="_Toc226337219"/>
      <w:r/>
      <w:bookmarkStart w:id="179" w:name="_Toc151193911"/>
      <w:r/>
      <w:bookmarkStart w:id="180" w:name="_Toc164608792"/>
      <w:r/>
      <w:bookmarkStart w:id="181" w:name="_Toc151193837"/>
      <w:r/>
      <w:bookmarkStart w:id="182" w:name="_Toc226965713"/>
      <w:r/>
      <w:bookmarkStart w:id="183" w:name="_Toc265228361"/>
      <w:r/>
      <w:bookmarkStart w:id="184" w:name="_Toc127161437"/>
      <w:r/>
      <w:bookmarkStart w:id="185" w:name="_Toc226309767"/>
      <w:r/>
      <w:bookmarkStart w:id="186" w:name="_Toc127151523"/>
      <w:r/>
      <w:bookmarkStart w:id="187" w:name="_Toc151193765"/>
      <w:r/>
      <w:bookmarkStart w:id="188" w:name="_Toc164229218"/>
      <w:r/>
      <w:bookmarkStart w:id="189" w:name="_Toc164229364"/>
      <w:r/>
      <w:bookmarkStart w:id="190" w:name="_Toc142311025"/>
      <w:r/>
      <w:bookmarkStart w:id="191" w:name="_Toc150774728"/>
      <w:r/>
      <w:bookmarkStart w:id="192" w:name="_Toc150480761"/>
      <w:r/>
      <w:bookmarkStart w:id="193" w:name="_Toc151190150"/>
      <w:r/>
      <w:bookmarkStart w:id="194" w:name="_Toc520356147"/>
      <w:r/>
      <w:bookmarkStart w:id="195" w:name="_Toc150509274"/>
      <w:r/>
      <w:bookmarkStart w:id="196" w:name="_Toc149720816"/>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0"/>
        <w:ind w:firstLine="562"/>
        <w:spacing w:before="0" w:line="360" w:lineRule="auto"/>
        <w:rPr>
          <w:rFonts w:hint="eastAsia" w:ascii="宋体" w:hAnsi="宋体" w:eastAsia="宋体" w:cs="宋体"/>
          <w:color w:val="000000"/>
          <w:sz w:val="28"/>
          <w:highlight w:val="none"/>
        </w:rPr>
      </w:pPr>
      <w:r/>
      <w:bookmarkStart w:id="197" w:name="_Toc150509277"/>
      <w:r/>
      <w:bookmarkStart w:id="198" w:name="_Toc127151526"/>
      <w:r/>
      <w:bookmarkStart w:id="199" w:name="_Toc265228364"/>
      <w:r/>
      <w:bookmarkStart w:id="200" w:name="_Toc226965799"/>
      <w:r/>
      <w:bookmarkStart w:id="201" w:name="_Toc226309770"/>
      <w:r/>
      <w:bookmarkStart w:id="202" w:name="_Toc150480764"/>
      <w:r/>
      <w:bookmarkStart w:id="203" w:name="_Toc305158868"/>
      <w:r/>
      <w:bookmarkStart w:id="204" w:name="_Toc195842891"/>
      <w:r/>
      <w:bookmarkStart w:id="205" w:name="_Toc520356150"/>
      <w:r/>
      <w:bookmarkStart w:id="206" w:name="_Toc151193624"/>
      <w:r/>
      <w:bookmarkStart w:id="207" w:name="_Toc150774731"/>
      <w:r/>
      <w:bookmarkStart w:id="208" w:name="_Toc151193914"/>
      <w:r/>
      <w:bookmarkStart w:id="209" w:name="_Toc151193696"/>
      <w:r/>
      <w:bookmarkStart w:id="210" w:name="_Toc516367020"/>
      <w:r/>
      <w:bookmarkStart w:id="211" w:name="_Toc226965716"/>
      <w:r/>
      <w:bookmarkStart w:id="212" w:name="_Toc264969216"/>
      <w:r/>
      <w:bookmarkStart w:id="213" w:name="_Toc151193840"/>
      <w:r/>
      <w:bookmarkStart w:id="214" w:name="_Toc151193768"/>
      <w:r/>
      <w:bookmarkStart w:id="215" w:name="_Toc151190153"/>
      <w:r/>
      <w:bookmarkStart w:id="216" w:name="_Toc142311028"/>
      <w:r/>
      <w:bookmarkStart w:id="217" w:name="_Toc305158794"/>
      <w:r/>
      <w:bookmarkStart w:id="218" w:name="_Toc150774626"/>
      <w:r/>
      <w:bookmarkStart w:id="219" w:name="_Toc226337222"/>
      <w:r>
        <w:rPr>
          <w:rFonts w:hint="eastAsia" w:ascii="宋体" w:hAnsi="宋体" w:eastAsia="宋体" w:cs="宋体"/>
          <w:color w:val="000000"/>
          <w:sz w:val="28"/>
          <w:highlight w:val="none"/>
        </w:rPr>
      </w:r>
      <w:r/>
    </w:p>
    <w:p>
      <w:pPr>
        <w:pStyle w:val="107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520356151"/>
      <w:r/>
      <w:bookmarkStart w:id="221" w:name="_Toc226965717"/>
      <w:r/>
      <w:bookmarkStart w:id="222" w:name="_Toc164229368"/>
      <w:r/>
      <w:bookmarkStart w:id="223" w:name="_Toc150774732"/>
      <w:r/>
      <w:bookmarkStart w:id="224" w:name="_Toc164608796"/>
      <w:r/>
      <w:bookmarkStart w:id="225" w:name="_Toc195842892"/>
      <w:r/>
      <w:bookmarkStart w:id="226" w:name="_Toc151193769"/>
      <w:r/>
      <w:bookmarkStart w:id="227" w:name="_Toc127151527"/>
      <w:r/>
      <w:bookmarkStart w:id="228" w:name="_Toc151193841"/>
      <w:r/>
      <w:bookmarkStart w:id="229" w:name="_Toc164229222"/>
      <w:r/>
      <w:bookmarkStart w:id="230" w:name="_Toc305158795"/>
      <w:r/>
      <w:bookmarkStart w:id="231" w:name="_Toc151193625"/>
      <w:r/>
      <w:bookmarkStart w:id="232" w:name="_Toc151193915"/>
      <w:r/>
      <w:bookmarkStart w:id="233" w:name="_Toc150774627"/>
      <w:r/>
      <w:bookmarkStart w:id="234" w:name="_Toc226337223"/>
      <w:r/>
      <w:bookmarkStart w:id="235" w:name="_Toc164608641"/>
      <w:r/>
      <w:bookmarkStart w:id="236" w:name="_Toc516367021"/>
      <w:r/>
      <w:bookmarkStart w:id="237" w:name="_Toc127161441"/>
      <w:r/>
      <w:bookmarkStart w:id="238" w:name="_Toc150480765"/>
      <w:r/>
      <w:bookmarkStart w:id="239" w:name="_Toc151190154"/>
      <w:r/>
      <w:bookmarkStart w:id="240" w:name="_Toc150509278"/>
      <w:r/>
      <w:bookmarkStart w:id="241" w:name="_Toc164351621"/>
      <w:r/>
      <w:bookmarkStart w:id="242" w:name="_Toc151193697"/>
      <w:r/>
      <w:bookmarkStart w:id="243" w:name="_Toc226309771"/>
      <w:r/>
      <w:bookmarkStart w:id="244" w:name="_Toc142311029"/>
      <w:r/>
      <w:bookmarkStart w:id="245" w:name="_Toc265228365"/>
      <w:r/>
      <w:bookmarkStart w:id="246" w:name="_Toc264969217"/>
      <w:r/>
      <w:bookmarkStart w:id="247" w:name="_Toc226965800"/>
      <w:r/>
      <w:bookmarkStart w:id="248" w:name="_Toc127151728"/>
      <w:r/>
      <w:bookmarkStart w:id="249" w:name="_Toc149720820"/>
      <w:r/>
      <w:bookmarkStart w:id="250" w:name="_Toc305158869"/>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305158870"/>
      <w:r/>
      <w:bookmarkStart w:id="252" w:name="_Toc142311030"/>
      <w:r/>
      <w:bookmarkStart w:id="253" w:name="_Toc226337224"/>
      <w:r/>
      <w:bookmarkStart w:id="254" w:name="_Toc164608642"/>
      <w:r/>
      <w:bookmarkStart w:id="255" w:name="_Toc226965718"/>
      <w:r/>
      <w:bookmarkStart w:id="256" w:name="_Toc127151528"/>
      <w:r/>
      <w:bookmarkStart w:id="257" w:name="_Toc164351622"/>
      <w:r/>
      <w:bookmarkStart w:id="258" w:name="_Toc516367022"/>
      <w:r/>
      <w:bookmarkStart w:id="259" w:name="_Ref467306195"/>
      <w:r/>
      <w:bookmarkStart w:id="260" w:name="_Ref467306676"/>
      <w:r/>
      <w:bookmarkStart w:id="261" w:name="_Toc195842893"/>
      <w:r/>
      <w:bookmarkStart w:id="262" w:name="_Toc164229223"/>
      <w:r/>
      <w:bookmarkStart w:id="263" w:name="_Toc265228366"/>
      <w:r/>
      <w:bookmarkStart w:id="264" w:name="_Toc151193698"/>
      <w:r/>
      <w:bookmarkStart w:id="265" w:name="_Toc150480766"/>
      <w:r/>
      <w:bookmarkStart w:id="266" w:name="_Toc149720821"/>
      <w:r/>
      <w:bookmarkStart w:id="267" w:name="_Toc164608797"/>
      <w:r/>
      <w:bookmarkStart w:id="268" w:name="_Toc151193770"/>
      <w:r/>
      <w:bookmarkStart w:id="269" w:name="_Toc150774628"/>
      <w:r/>
      <w:bookmarkStart w:id="270" w:name="_Toc150774733"/>
      <w:r/>
      <w:bookmarkStart w:id="271" w:name="_Toc151193916"/>
      <w:r/>
      <w:bookmarkStart w:id="272" w:name="_Toc151193626"/>
      <w:r/>
      <w:bookmarkStart w:id="273" w:name="_Toc264969218"/>
      <w:r/>
      <w:bookmarkStart w:id="274" w:name="_Toc226965801"/>
      <w:r/>
      <w:bookmarkStart w:id="275" w:name="_Toc150509279"/>
      <w:r/>
      <w:bookmarkStart w:id="276" w:name="_Toc520356152"/>
      <w:r/>
      <w:bookmarkStart w:id="277" w:name="_Toc151193842"/>
      <w:r/>
      <w:bookmarkStart w:id="278" w:name="_Toc127161442"/>
      <w:r/>
      <w:bookmarkStart w:id="279" w:name="_Toc226309772"/>
      <w:r/>
      <w:bookmarkStart w:id="280" w:name="_Toc164229369"/>
      <w:r/>
      <w:bookmarkStart w:id="281" w:name="_Toc305158796"/>
      <w:r/>
      <w:bookmarkStart w:id="282" w:name="_Toc151190155"/>
      <w:r/>
      <w:bookmarkStart w:id="283" w:name="_Toc127151729"/>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700"/>
      <w:r/>
      <w:bookmarkStart w:id="286" w:name="_Toc127161444"/>
      <w:r/>
      <w:bookmarkStart w:id="287" w:name="_Toc164608644"/>
      <w:r/>
      <w:bookmarkStart w:id="288" w:name="_Toc151190157"/>
      <w:r/>
      <w:bookmarkStart w:id="289" w:name="_Toc150509281"/>
      <w:r/>
      <w:bookmarkStart w:id="290" w:name="_Toc142311032"/>
      <w:r/>
      <w:bookmarkStart w:id="291" w:name="_Toc149720823"/>
      <w:r/>
      <w:bookmarkStart w:id="292" w:name="_Toc195842895"/>
      <w:r/>
      <w:bookmarkStart w:id="293" w:name="_Toc150774630"/>
      <w:r/>
      <w:bookmarkStart w:id="294" w:name="_Toc151193918"/>
      <w:r/>
      <w:bookmarkStart w:id="295" w:name="_Toc164608799"/>
      <w:r/>
      <w:bookmarkStart w:id="296" w:name="_Toc127151731"/>
      <w:r/>
      <w:bookmarkStart w:id="297" w:name="_Toc150774735"/>
      <w:r/>
      <w:bookmarkStart w:id="298" w:name="_Toc164229225"/>
      <w:r/>
      <w:bookmarkStart w:id="299" w:name="_Toc127151530"/>
      <w:r/>
      <w:bookmarkStart w:id="300" w:name="_Toc151193844"/>
      <w:r/>
      <w:bookmarkStart w:id="301" w:name="_Toc164351624"/>
      <w:r/>
      <w:bookmarkStart w:id="302" w:name="_Toc151193628"/>
      <w:r/>
      <w:bookmarkStart w:id="303" w:name="_Toc150480768"/>
      <w:r/>
      <w:bookmarkStart w:id="304" w:name="_Toc164229371"/>
      <w:r/>
      <w:bookmarkStart w:id="305" w:name="_Toc520356155"/>
      <w:r/>
      <w:bookmarkStart w:id="306" w:name="_Toc151193772"/>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42311033"/>
      <w:r/>
      <w:bookmarkStart w:id="308" w:name="_Toc265228369"/>
      <w:r/>
      <w:bookmarkStart w:id="309" w:name="_Toc195842896"/>
      <w:r/>
      <w:bookmarkStart w:id="310" w:name="_Toc150509282"/>
      <w:r/>
      <w:bookmarkStart w:id="311" w:name="_Toc226965804"/>
      <w:r/>
      <w:bookmarkStart w:id="312" w:name="_Toc226309775"/>
      <w:r/>
      <w:bookmarkStart w:id="313" w:name="_Toc150774736"/>
      <w:r/>
      <w:bookmarkStart w:id="314" w:name="_Toc164229226"/>
      <w:r/>
      <w:bookmarkStart w:id="315" w:name="_Toc305158873"/>
      <w:r/>
      <w:bookmarkStart w:id="316" w:name="_Toc150480769"/>
      <w:r/>
      <w:bookmarkStart w:id="317" w:name="_Toc151193845"/>
      <w:r/>
      <w:bookmarkStart w:id="318" w:name="_Toc164608800"/>
      <w:r/>
      <w:bookmarkStart w:id="319" w:name="_Toc151190158"/>
      <w:r/>
      <w:bookmarkStart w:id="320" w:name="_Toc151193701"/>
      <w:r/>
      <w:bookmarkStart w:id="321" w:name="_Toc305158799"/>
      <w:r/>
      <w:bookmarkStart w:id="322" w:name="_Toc127161445"/>
      <w:r/>
      <w:bookmarkStart w:id="323" w:name="_Toc164351625"/>
      <w:r/>
      <w:bookmarkStart w:id="324" w:name="_Toc520356156"/>
      <w:r/>
      <w:bookmarkStart w:id="325" w:name="_Toc264969221"/>
      <w:r/>
      <w:bookmarkStart w:id="326" w:name="_Toc151193919"/>
      <w:r/>
      <w:bookmarkStart w:id="327" w:name="_Toc164229372"/>
      <w:r/>
      <w:bookmarkStart w:id="328" w:name="_Toc149720824"/>
      <w:r/>
      <w:bookmarkStart w:id="329" w:name="_Toc164608645"/>
      <w:r/>
      <w:bookmarkStart w:id="330" w:name="_Ref467306513"/>
      <w:r/>
      <w:bookmarkStart w:id="331" w:name="_Toc151193773"/>
      <w:r/>
      <w:bookmarkStart w:id="332" w:name="_Toc150774631"/>
      <w:r/>
      <w:bookmarkStart w:id="333" w:name="_Toc151193629"/>
      <w:r/>
      <w:bookmarkStart w:id="334" w:name="_Toc226965721"/>
      <w:r/>
      <w:bookmarkStart w:id="335" w:name="_Toc127151531"/>
      <w:r/>
      <w:bookmarkStart w:id="336" w:name="_Toc226337227"/>
      <w:r/>
      <w:bookmarkStart w:id="337" w:name="_Toc127151732"/>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68"/>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1193846"/>
      <w:r/>
      <w:bookmarkStart w:id="339" w:name="_Toc164351626"/>
      <w:r/>
      <w:bookmarkStart w:id="340" w:name="_Toc164608646"/>
      <w:r/>
      <w:bookmarkStart w:id="341" w:name="_Toc127151532"/>
      <w:r/>
      <w:bookmarkStart w:id="342" w:name="_Toc226337228"/>
      <w:r/>
      <w:bookmarkStart w:id="343" w:name="_Toc150774632"/>
      <w:r/>
      <w:bookmarkStart w:id="344" w:name="_Toc226965805"/>
      <w:r/>
      <w:bookmarkStart w:id="345" w:name="_Toc164229227"/>
      <w:r/>
      <w:bookmarkStart w:id="346" w:name="_Toc127161446"/>
      <w:r/>
      <w:bookmarkStart w:id="347" w:name="_Toc150509283"/>
      <w:r/>
      <w:bookmarkStart w:id="348" w:name="_Toc226309776"/>
      <w:r/>
      <w:bookmarkStart w:id="349" w:name="_Toc305158800"/>
      <w:r/>
      <w:bookmarkStart w:id="350" w:name="_Toc520356157"/>
      <w:r/>
      <w:bookmarkStart w:id="351" w:name="_Toc150774737"/>
      <w:r/>
      <w:bookmarkStart w:id="352" w:name="_Toc151190159"/>
      <w:r/>
      <w:bookmarkStart w:id="353" w:name="_Toc226965722"/>
      <w:r/>
      <w:bookmarkStart w:id="354" w:name="_Toc195842897"/>
      <w:r/>
      <w:bookmarkStart w:id="355" w:name="_Toc265228370"/>
      <w:r/>
      <w:bookmarkStart w:id="356" w:name="_Toc142311034"/>
      <w:r/>
      <w:bookmarkStart w:id="357" w:name="_Toc151193702"/>
      <w:r/>
      <w:bookmarkStart w:id="358" w:name="_Toc164608801"/>
      <w:r/>
      <w:bookmarkStart w:id="359" w:name="_Toc150480770"/>
      <w:r/>
      <w:bookmarkStart w:id="360" w:name="_Toc305158874"/>
      <w:r/>
      <w:bookmarkStart w:id="361" w:name="_Toc151193920"/>
      <w:r/>
      <w:bookmarkStart w:id="362" w:name="_Toc127151733"/>
      <w:r/>
      <w:bookmarkStart w:id="363" w:name="_Toc151193774"/>
      <w:r/>
      <w:bookmarkStart w:id="364" w:name="_Toc151193630"/>
      <w:r/>
      <w:bookmarkStart w:id="365" w:name="_Toc164229373"/>
      <w:r/>
      <w:bookmarkStart w:id="366" w:name="_Toc264969222"/>
      <w:r/>
      <w:bookmarkStart w:id="367" w:name="_Toc149720825"/>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64229374"/>
      <w:r/>
      <w:bookmarkStart w:id="369" w:name="_Toc127161447"/>
      <w:r/>
      <w:bookmarkStart w:id="370" w:name="_Toc151193847"/>
      <w:r/>
      <w:bookmarkStart w:id="371" w:name="_Toc226965806"/>
      <w:r/>
      <w:bookmarkStart w:id="372" w:name="_Toc127151734"/>
      <w:r/>
      <w:bookmarkStart w:id="373" w:name="_Toc305158801"/>
      <w:r/>
      <w:bookmarkStart w:id="374" w:name="_Toc150774738"/>
      <w:r/>
      <w:bookmarkStart w:id="375" w:name="_Toc151193775"/>
      <w:r/>
      <w:bookmarkStart w:id="376" w:name="_Toc164608647"/>
      <w:r/>
      <w:bookmarkStart w:id="377" w:name="_Toc226337229"/>
      <w:r/>
      <w:bookmarkStart w:id="378" w:name="_Toc150509284"/>
      <w:r/>
      <w:bookmarkStart w:id="379" w:name="_Toc142311035"/>
      <w:r/>
      <w:bookmarkStart w:id="380" w:name="_Toc151190160"/>
      <w:r/>
      <w:bookmarkStart w:id="381" w:name="_Toc151193703"/>
      <w:r/>
      <w:bookmarkStart w:id="382" w:name="_Toc226309777"/>
      <w:r/>
      <w:bookmarkStart w:id="383" w:name="_Toc164608802"/>
      <w:r/>
      <w:bookmarkStart w:id="384" w:name="_Toc265228371"/>
      <w:r/>
      <w:bookmarkStart w:id="385" w:name="_Toc164351627"/>
      <w:r/>
      <w:bookmarkStart w:id="386" w:name="_Toc151193631"/>
      <w:r/>
      <w:bookmarkStart w:id="387" w:name="_Toc127151533"/>
      <w:r/>
      <w:bookmarkStart w:id="388" w:name="_Toc195842898"/>
      <w:r/>
      <w:bookmarkStart w:id="389" w:name="_Toc151193921"/>
      <w:r/>
      <w:bookmarkStart w:id="390" w:name="_Toc264969223"/>
      <w:r/>
      <w:bookmarkStart w:id="391" w:name="_Toc226965723"/>
      <w:r/>
      <w:bookmarkStart w:id="392" w:name="_Toc149720826"/>
      <w:r/>
      <w:bookmarkStart w:id="393" w:name="_Toc305158875"/>
      <w:r/>
      <w:bookmarkStart w:id="394" w:name="_Toc150774633"/>
      <w:r/>
      <w:bookmarkStart w:id="395" w:name="_Toc520356158"/>
      <w:r/>
      <w:bookmarkStart w:id="396" w:name="_Toc150480771"/>
      <w:r/>
      <w:bookmarkStart w:id="397" w:name="_Toc164229228"/>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65228372"/>
      <w:r/>
      <w:bookmarkStart w:id="399" w:name="_Toc150774739"/>
      <w:r/>
      <w:bookmarkStart w:id="400" w:name="_Toc226965807"/>
      <w:r/>
      <w:bookmarkStart w:id="401" w:name="_Toc151190161"/>
      <w:r/>
      <w:bookmarkStart w:id="402" w:name="_Toc151193848"/>
      <w:r/>
      <w:bookmarkStart w:id="403" w:name="_Toc264969224"/>
      <w:r/>
      <w:bookmarkStart w:id="404" w:name="_Toc226337230"/>
      <w:r/>
      <w:bookmarkStart w:id="405" w:name="_Toc151193922"/>
      <w:r/>
      <w:bookmarkStart w:id="406" w:name="_Toc195842899"/>
      <w:r/>
      <w:bookmarkStart w:id="407" w:name="_Toc150774634"/>
      <w:r/>
      <w:bookmarkStart w:id="408" w:name="_Toc226965724"/>
      <w:r/>
      <w:bookmarkStart w:id="409" w:name="_Toc520356159"/>
      <w:r/>
      <w:bookmarkStart w:id="410" w:name="_Toc226309778"/>
      <w:r/>
      <w:bookmarkStart w:id="411" w:name="_Toc150480772"/>
      <w:r/>
      <w:bookmarkStart w:id="412" w:name="_Toc305158802"/>
      <w:r/>
      <w:bookmarkStart w:id="413" w:name="_Toc151193632"/>
      <w:r/>
      <w:bookmarkStart w:id="414" w:name="_Toc127151534"/>
      <w:r/>
      <w:bookmarkStart w:id="415" w:name="_Toc151193704"/>
      <w:r/>
      <w:bookmarkStart w:id="416" w:name="_Toc150509285"/>
      <w:r/>
      <w:bookmarkStart w:id="417" w:name="_Toc142311036"/>
      <w:r/>
      <w:bookmarkStart w:id="418" w:name="_Toc305158876"/>
      <w:r/>
      <w:bookmarkStart w:id="419" w:name="_Toc151193776"/>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68"/>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27151736"/>
      <w:r/>
      <w:bookmarkStart w:id="421" w:name="_Toc142311037"/>
      <w:r/>
      <w:bookmarkStart w:id="422" w:name="_Toc151193633"/>
      <w:r/>
      <w:bookmarkStart w:id="423" w:name="_Toc150480773"/>
      <w:r/>
      <w:bookmarkStart w:id="424" w:name="_Toc151193777"/>
      <w:r/>
      <w:bookmarkStart w:id="425" w:name="_Toc164351629"/>
      <w:r/>
      <w:bookmarkStart w:id="426" w:name="_Toc226965725"/>
      <w:r/>
      <w:bookmarkStart w:id="427" w:name="_Toc150774635"/>
      <w:r/>
      <w:bookmarkStart w:id="428" w:name="_Toc127151535"/>
      <w:r/>
      <w:bookmarkStart w:id="429" w:name="_Toc151193849"/>
      <w:r/>
      <w:bookmarkStart w:id="430" w:name="_Toc305158877"/>
      <w:r/>
      <w:bookmarkStart w:id="431" w:name="_Toc520356160"/>
      <w:r/>
      <w:bookmarkStart w:id="432" w:name="_Toc150509286"/>
      <w:r/>
      <w:bookmarkStart w:id="433" w:name="_Toc264969225"/>
      <w:r/>
      <w:bookmarkStart w:id="434" w:name="_Toc127161449"/>
      <w:r/>
      <w:bookmarkStart w:id="435" w:name="_Toc164608804"/>
      <w:r/>
      <w:bookmarkStart w:id="436" w:name="_Toc151190162"/>
      <w:r/>
      <w:bookmarkStart w:id="437" w:name="_Toc151193923"/>
      <w:r/>
      <w:bookmarkStart w:id="438" w:name="_Toc226309779"/>
      <w:r/>
      <w:bookmarkStart w:id="439" w:name="_Toc265228373"/>
      <w:r/>
      <w:bookmarkStart w:id="440" w:name="_Toc226337231"/>
      <w:r/>
      <w:bookmarkStart w:id="441" w:name="_Toc305158803"/>
      <w:r/>
      <w:bookmarkStart w:id="442" w:name="_Toc149720828"/>
      <w:r/>
      <w:bookmarkStart w:id="443" w:name="_Toc226965808"/>
      <w:r/>
      <w:bookmarkStart w:id="444" w:name="_Toc164229376"/>
      <w:r/>
      <w:bookmarkStart w:id="445" w:name="_Toc151193705"/>
      <w:r/>
      <w:bookmarkStart w:id="446" w:name="_Toc150774740"/>
      <w:r/>
      <w:bookmarkStart w:id="447" w:name="_Toc195842900"/>
      <w:r/>
      <w:bookmarkStart w:id="448" w:name="_Toc164608649"/>
      <w:r/>
      <w:bookmarkStart w:id="449" w:name="_Toc164229230"/>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1193706"/>
      <w:r/>
      <w:bookmarkStart w:id="451" w:name="_Toc265228374"/>
      <w:r/>
      <w:bookmarkStart w:id="452" w:name="_Toc127161450"/>
      <w:r/>
      <w:bookmarkStart w:id="453" w:name="_Toc150480774"/>
      <w:r/>
      <w:bookmarkStart w:id="454" w:name="_Toc226965809"/>
      <w:r/>
      <w:bookmarkStart w:id="455" w:name="_Toc195842901"/>
      <w:r/>
      <w:bookmarkStart w:id="456" w:name="_Toc151190163"/>
      <w:r/>
      <w:bookmarkStart w:id="457" w:name="_Toc164229377"/>
      <w:r/>
      <w:bookmarkStart w:id="458" w:name="_Toc226965726"/>
      <w:r/>
      <w:bookmarkStart w:id="459" w:name="_Toc151193634"/>
      <w:r/>
      <w:bookmarkStart w:id="460" w:name="_Toc149720829"/>
      <w:r/>
      <w:bookmarkStart w:id="461" w:name="_Toc164351630"/>
      <w:r/>
      <w:bookmarkStart w:id="462" w:name="_Toc164608650"/>
      <w:r/>
      <w:bookmarkStart w:id="463" w:name="_Toc151193778"/>
      <w:r/>
      <w:bookmarkStart w:id="464" w:name="_Toc150509287"/>
      <w:r/>
      <w:bookmarkStart w:id="465" w:name="_Toc127151536"/>
      <w:r/>
      <w:bookmarkStart w:id="466" w:name="_Toc226309780"/>
      <w:r/>
      <w:bookmarkStart w:id="467" w:name="_Toc164608805"/>
      <w:r/>
      <w:bookmarkStart w:id="468" w:name="_Toc305158878"/>
      <w:r/>
      <w:bookmarkStart w:id="469" w:name="_Toc264969226"/>
      <w:r/>
      <w:bookmarkStart w:id="470" w:name="_Toc226337232"/>
      <w:r/>
      <w:bookmarkStart w:id="471" w:name="_Toc150774636"/>
      <w:r/>
      <w:bookmarkStart w:id="472" w:name="_Toc151193924"/>
      <w:r/>
      <w:bookmarkStart w:id="473" w:name="_Toc164229231"/>
      <w:r/>
      <w:bookmarkStart w:id="474" w:name="_Toc150774741"/>
      <w:r/>
      <w:bookmarkStart w:id="475" w:name="_Toc151193850"/>
      <w:r/>
      <w:bookmarkStart w:id="476" w:name="_Toc520356161"/>
      <w:r/>
      <w:bookmarkStart w:id="477" w:name="_Toc305158804"/>
      <w:r/>
      <w:bookmarkStart w:id="478" w:name="_Toc127151737"/>
      <w:r/>
      <w:bookmarkStart w:id="479" w:name="_Toc142311038"/>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305158805"/>
      <w:r/>
      <w:bookmarkStart w:id="481" w:name="_Toc226965810"/>
      <w:r/>
      <w:bookmarkStart w:id="482" w:name="_Toc164351631"/>
      <w:r/>
      <w:bookmarkStart w:id="483" w:name="_Toc264969227"/>
      <w:r/>
      <w:bookmarkStart w:id="484" w:name="_Toc226337233"/>
      <w:r/>
      <w:bookmarkStart w:id="485" w:name="_Toc150480775"/>
      <w:r/>
      <w:bookmarkStart w:id="486" w:name="_Toc150774637"/>
      <w:r/>
      <w:bookmarkStart w:id="487" w:name="_Toc151190164"/>
      <w:r/>
      <w:bookmarkStart w:id="488" w:name="_Toc142311039"/>
      <w:r/>
      <w:bookmarkStart w:id="489" w:name="_Toc150509288"/>
      <w:r/>
      <w:bookmarkStart w:id="490" w:name="_Toc151193779"/>
      <w:r/>
      <w:bookmarkStart w:id="491" w:name="_Toc151193851"/>
      <w:r/>
      <w:bookmarkStart w:id="492" w:name="_Toc265228375"/>
      <w:r/>
      <w:bookmarkStart w:id="493" w:name="_Toc164608806"/>
      <w:r/>
      <w:bookmarkStart w:id="494" w:name="_Toc151193925"/>
      <w:r/>
      <w:bookmarkStart w:id="495" w:name="_Toc164608651"/>
      <w:r/>
      <w:bookmarkStart w:id="496" w:name="_Toc127161451"/>
      <w:r/>
      <w:bookmarkStart w:id="497" w:name="_Toc149720830"/>
      <w:r/>
      <w:bookmarkStart w:id="498" w:name="_Toc164229378"/>
      <w:r/>
      <w:bookmarkStart w:id="499" w:name="_Toc305158879"/>
      <w:r/>
      <w:bookmarkStart w:id="500" w:name="_Toc226965727"/>
      <w:r/>
      <w:bookmarkStart w:id="501" w:name="_Toc127151537"/>
      <w:r/>
      <w:bookmarkStart w:id="502" w:name="_Toc226309781"/>
      <w:r/>
      <w:bookmarkStart w:id="503" w:name="_Toc520356162"/>
      <w:r/>
      <w:bookmarkStart w:id="504" w:name="_Toc151193635"/>
      <w:r/>
      <w:bookmarkStart w:id="505" w:name="_Toc150774742"/>
      <w:r/>
      <w:bookmarkStart w:id="506" w:name="_Toc195842902"/>
      <w:r/>
      <w:bookmarkStart w:id="507" w:name="_Toc127151738"/>
      <w:r/>
      <w:bookmarkStart w:id="508" w:name="_Toc151193707"/>
      <w:r/>
      <w:bookmarkStart w:id="509" w:name="_Toc164229232"/>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0"/>
        <w:ind w:firstLine="562"/>
        <w:spacing w:before="0" w:line="360" w:lineRule="auto"/>
        <w:rPr>
          <w:rFonts w:hint="eastAsia" w:ascii="宋体" w:hAnsi="宋体" w:eastAsia="宋体" w:cs="宋体"/>
          <w:color w:val="000000"/>
          <w:sz w:val="28"/>
          <w:highlight w:val="none"/>
        </w:rPr>
      </w:pPr>
      <w:r/>
      <w:bookmarkStart w:id="510" w:name="_Toc264969228"/>
      <w:r/>
      <w:bookmarkStart w:id="511" w:name="_Toc265228376"/>
      <w:r/>
      <w:bookmarkStart w:id="512" w:name="_Toc520356163"/>
      <w:r/>
      <w:bookmarkStart w:id="513" w:name="_Toc226965811"/>
      <w:r/>
      <w:bookmarkStart w:id="514" w:name="_Toc127151538"/>
      <w:r/>
      <w:bookmarkStart w:id="515" w:name="_Toc305158806"/>
      <w:r/>
      <w:bookmarkStart w:id="516" w:name="_Toc151193926"/>
      <w:r/>
      <w:bookmarkStart w:id="517" w:name="_Toc150509289"/>
      <w:r/>
      <w:bookmarkStart w:id="518" w:name="_Toc195842903"/>
      <w:r/>
      <w:bookmarkStart w:id="519" w:name="_Toc305158880"/>
      <w:r/>
      <w:bookmarkStart w:id="520" w:name="_Toc151193780"/>
      <w:r/>
      <w:bookmarkStart w:id="521" w:name="_Toc150774638"/>
      <w:r/>
      <w:bookmarkStart w:id="522" w:name="_Toc151193636"/>
      <w:r/>
      <w:bookmarkStart w:id="523" w:name="_Toc150774743"/>
      <w:r/>
      <w:bookmarkStart w:id="524" w:name="_Toc151193852"/>
      <w:r/>
      <w:bookmarkStart w:id="525" w:name="_Toc226337234"/>
      <w:r/>
      <w:bookmarkStart w:id="526" w:name="_Toc142311040"/>
      <w:r/>
      <w:bookmarkStart w:id="527" w:name="_Toc151190165"/>
      <w:r/>
      <w:bookmarkStart w:id="528" w:name="_Toc226965728"/>
      <w:r/>
      <w:bookmarkStart w:id="529" w:name="_Toc226309782"/>
      <w:r/>
      <w:bookmarkStart w:id="530" w:name="_Toc151193708"/>
      <w:r/>
      <w:bookmarkStart w:id="531" w:name="_Toc15048077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0509290"/>
      <w:r/>
      <w:bookmarkStart w:id="533" w:name="_Toc226309783"/>
      <w:r/>
      <w:bookmarkStart w:id="534" w:name="_Toc150480777"/>
      <w:r/>
      <w:bookmarkStart w:id="535" w:name="_Toc127151539"/>
      <w:r/>
      <w:bookmarkStart w:id="536" w:name="_Toc150774744"/>
      <w:r/>
      <w:bookmarkStart w:id="537" w:name="_Toc151193637"/>
      <w:r/>
      <w:bookmarkStart w:id="538" w:name="_Toc265228377"/>
      <w:r/>
      <w:bookmarkStart w:id="539" w:name="_Toc305158881"/>
      <w:r/>
      <w:bookmarkStart w:id="540" w:name="_Toc164229380"/>
      <w:r/>
      <w:bookmarkStart w:id="541" w:name="_Toc164351633"/>
      <w:r/>
      <w:bookmarkStart w:id="542" w:name="_Toc149720832"/>
      <w:r/>
      <w:bookmarkStart w:id="543" w:name="_Toc164229234"/>
      <w:r/>
      <w:bookmarkStart w:id="544" w:name="_Toc151193709"/>
      <w:r/>
      <w:bookmarkStart w:id="545" w:name="_Toc151193781"/>
      <w:r/>
      <w:bookmarkStart w:id="546" w:name="_Toc520356164"/>
      <w:r/>
      <w:bookmarkStart w:id="547" w:name="_Toc305158807"/>
      <w:r/>
      <w:bookmarkStart w:id="548" w:name="_Toc164608653"/>
      <w:r/>
      <w:bookmarkStart w:id="549" w:name="_Toc151193853"/>
      <w:r/>
      <w:bookmarkStart w:id="550" w:name="_Toc195842904"/>
      <w:r/>
      <w:bookmarkStart w:id="551" w:name="_Toc127151740"/>
      <w:r/>
      <w:bookmarkStart w:id="552" w:name="_Toc264969229"/>
      <w:r/>
      <w:bookmarkStart w:id="553" w:name="_Toc151193927"/>
      <w:r/>
      <w:bookmarkStart w:id="554" w:name="_Toc226965812"/>
      <w:r/>
      <w:bookmarkStart w:id="555" w:name="_Toc127161453"/>
      <w:r/>
      <w:bookmarkStart w:id="556" w:name="_Toc226965729"/>
      <w:r/>
      <w:bookmarkStart w:id="557" w:name="_Toc226337235"/>
      <w:r/>
      <w:bookmarkStart w:id="558" w:name="_Toc142311041"/>
      <w:r/>
      <w:bookmarkStart w:id="559" w:name="_Toc164608808"/>
      <w:r/>
      <w:bookmarkStart w:id="560" w:name="_Toc151190166"/>
      <w:r/>
      <w:bookmarkStart w:id="561" w:name="_Toc150774639"/>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68"/>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68"/>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26309784"/>
      <w:r/>
      <w:bookmarkStart w:id="564" w:name="_Toc150480778"/>
      <w:r/>
      <w:bookmarkStart w:id="565" w:name="_Toc150774745"/>
      <w:r/>
      <w:bookmarkStart w:id="566" w:name="_Toc164608654"/>
      <w:r/>
      <w:bookmarkStart w:id="567" w:name="_Toc127161454"/>
      <w:r/>
      <w:bookmarkStart w:id="568" w:name="_Toc305158882"/>
      <w:r/>
      <w:bookmarkStart w:id="569" w:name="_Toc149720833"/>
      <w:r/>
      <w:bookmarkStart w:id="570" w:name="_Toc164608809"/>
      <w:r/>
      <w:bookmarkStart w:id="571" w:name="_Toc164351634"/>
      <w:r/>
      <w:bookmarkStart w:id="572" w:name="_Toc226965730"/>
      <w:r/>
      <w:bookmarkStart w:id="573" w:name="_Toc150774640"/>
      <w:r/>
      <w:bookmarkStart w:id="574" w:name="_Toc127151540"/>
      <w:r/>
      <w:bookmarkStart w:id="575" w:name="_Toc151193928"/>
      <w:r/>
      <w:bookmarkStart w:id="576" w:name="_Toc164229381"/>
      <w:r/>
      <w:bookmarkStart w:id="577" w:name="_Toc195842905"/>
      <w:r/>
      <w:bookmarkStart w:id="578" w:name="_Toc226337236"/>
      <w:r/>
      <w:bookmarkStart w:id="579" w:name="_Toc150509291"/>
      <w:r/>
      <w:bookmarkStart w:id="580" w:name="_Toc151190167"/>
      <w:r/>
      <w:bookmarkStart w:id="581" w:name="_Toc305158808"/>
      <w:r/>
      <w:bookmarkStart w:id="582" w:name="_Toc151193710"/>
      <w:r/>
      <w:bookmarkStart w:id="583" w:name="_Toc226965813"/>
      <w:r/>
      <w:bookmarkStart w:id="584" w:name="_Toc142311042"/>
      <w:r/>
      <w:bookmarkStart w:id="585" w:name="_Toc127151741"/>
      <w:r/>
      <w:bookmarkStart w:id="586" w:name="_Toc151193638"/>
      <w:r/>
      <w:bookmarkStart w:id="587" w:name="_Toc164229235"/>
      <w:r/>
      <w:bookmarkStart w:id="588" w:name="_Toc265228378"/>
      <w:r/>
      <w:bookmarkStart w:id="589" w:name="_Toc151193782"/>
      <w:r/>
      <w:bookmarkStart w:id="590" w:name="_Toc151193854"/>
      <w:r/>
      <w:bookmarkStart w:id="591" w:name="_Toc264969230"/>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68"/>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ind w:firstLine="562"/>
        <w:spacing w:before="0" w:line="360" w:lineRule="auto"/>
        <w:rPr>
          <w:rFonts w:hint="eastAsia" w:ascii="宋体" w:hAnsi="宋体" w:eastAsia="宋体" w:cs="宋体"/>
          <w:color w:val="000000"/>
          <w:sz w:val="28"/>
          <w:highlight w:val="none"/>
        </w:rPr>
      </w:pPr>
      <w:r/>
      <w:bookmarkStart w:id="594" w:name="_Toc151193787"/>
      <w:r/>
      <w:bookmarkStart w:id="595" w:name="_Toc226965735"/>
      <w:r/>
      <w:bookmarkStart w:id="596" w:name="_Toc150774750"/>
      <w:r/>
      <w:bookmarkStart w:id="597" w:name="_Toc226309789"/>
      <w:r/>
      <w:bookmarkStart w:id="598" w:name="_Toc150774645"/>
      <w:r/>
      <w:bookmarkStart w:id="599" w:name="_Toc305158813"/>
      <w:r/>
      <w:bookmarkStart w:id="600" w:name="_Toc151193643"/>
      <w:r/>
      <w:bookmarkStart w:id="601" w:name="_Toc195842910"/>
      <w:r/>
      <w:bookmarkStart w:id="602" w:name="_Toc151193715"/>
      <w:r/>
      <w:bookmarkStart w:id="603" w:name="_Toc151190172"/>
      <w:r/>
      <w:bookmarkStart w:id="604" w:name="_Toc150509296"/>
      <w:r/>
      <w:bookmarkStart w:id="605" w:name="_Toc226337241"/>
      <w:r/>
      <w:bookmarkStart w:id="606" w:name="_Toc150480783"/>
      <w:r/>
      <w:bookmarkStart w:id="607" w:name="_Toc226965818"/>
      <w:r/>
      <w:bookmarkStart w:id="608" w:name="_Toc151193933"/>
      <w:r/>
      <w:bookmarkStart w:id="609" w:name="_Toc142311047"/>
      <w:r/>
      <w:bookmarkStart w:id="610" w:name="_Toc265228383"/>
      <w:r/>
      <w:bookmarkStart w:id="611" w:name="_Toc127151545"/>
      <w:r/>
      <w:bookmarkStart w:id="612" w:name="_Toc264969235"/>
      <w:r/>
      <w:bookmarkStart w:id="613" w:name="_Toc305158887"/>
      <w:r/>
      <w:bookmarkStart w:id="614" w:name="_Toc151193859"/>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42311049"/>
      <w:r/>
      <w:bookmarkStart w:id="616" w:name="_Toc127151748"/>
      <w:r/>
      <w:bookmarkStart w:id="617" w:name="_Toc226309791"/>
      <w:r/>
      <w:bookmarkStart w:id="618" w:name="_Toc151193717"/>
      <w:r/>
      <w:bookmarkStart w:id="619" w:name="_Toc164608816"/>
      <w:r/>
      <w:bookmarkStart w:id="620" w:name="_Toc150774647"/>
      <w:r/>
      <w:bookmarkStart w:id="621" w:name="_Toc150774752"/>
      <w:r/>
      <w:bookmarkStart w:id="622" w:name="_Toc305158815"/>
      <w:r/>
      <w:bookmarkStart w:id="623" w:name="_Toc195842912"/>
      <w:r/>
      <w:bookmarkStart w:id="624" w:name="_Toc164608661"/>
      <w:r/>
      <w:bookmarkStart w:id="625" w:name="_Toc151193789"/>
      <w:r/>
      <w:bookmarkStart w:id="626" w:name="_Toc305158889"/>
      <w:r/>
      <w:bookmarkStart w:id="627" w:name="_Toc164229388"/>
      <w:r/>
      <w:bookmarkStart w:id="628" w:name="_Toc265228385"/>
      <w:r/>
      <w:bookmarkStart w:id="629" w:name="_Toc127151547"/>
      <w:r/>
      <w:bookmarkStart w:id="630" w:name="_Toc164229242"/>
      <w:r/>
      <w:bookmarkStart w:id="631" w:name="_Toc151193861"/>
      <w:r/>
      <w:bookmarkStart w:id="632" w:name="_Toc164351641"/>
      <w:r/>
      <w:bookmarkStart w:id="633" w:name="_Toc149720840"/>
      <w:r/>
      <w:bookmarkStart w:id="634" w:name="_Toc226965820"/>
      <w:r/>
      <w:bookmarkStart w:id="635" w:name="_Toc226965737"/>
      <w:r/>
      <w:bookmarkStart w:id="636" w:name="_Toc264969237"/>
      <w:r/>
      <w:bookmarkStart w:id="637" w:name="_Toc150480785"/>
      <w:r/>
      <w:bookmarkStart w:id="638" w:name="_Toc150509298"/>
      <w:r/>
      <w:bookmarkStart w:id="639" w:name="_Toc226337243"/>
      <w:r/>
      <w:bookmarkStart w:id="640" w:name="_Toc151193935"/>
      <w:r/>
      <w:bookmarkStart w:id="641" w:name="_Toc151190174"/>
      <w:r/>
      <w:bookmarkStart w:id="642" w:name="_Toc151193645"/>
      <w:r/>
      <w:bookmarkStart w:id="643" w:name="_Toc127161461"/>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0509300"/>
      <w:r/>
      <w:bookmarkStart w:id="645" w:name="_Toc151193863"/>
      <w:r/>
      <w:bookmarkStart w:id="646" w:name="_Toc264969239"/>
      <w:r/>
      <w:bookmarkStart w:id="647" w:name="_Toc305158817"/>
      <w:r/>
      <w:bookmarkStart w:id="648" w:name="_Toc150774649"/>
      <w:r/>
      <w:bookmarkStart w:id="649" w:name="_Toc164608663"/>
      <w:r/>
      <w:bookmarkStart w:id="650" w:name="_Toc226309793"/>
      <w:r/>
      <w:bookmarkStart w:id="651" w:name="_Toc265228387"/>
      <w:r/>
      <w:bookmarkStart w:id="652" w:name="_Ref467306425"/>
      <w:r/>
      <w:bookmarkStart w:id="653" w:name="_Ref467307090"/>
      <w:r/>
      <w:bookmarkStart w:id="654" w:name="_Toc520356176"/>
      <w:r/>
      <w:bookmarkStart w:id="655" w:name="_Toc142311051"/>
      <w:r/>
      <w:bookmarkStart w:id="656" w:name="_Toc164229244"/>
      <w:r/>
      <w:bookmarkStart w:id="657" w:name="_Toc151193719"/>
      <w:r/>
      <w:bookmarkStart w:id="658" w:name="_Toc164608818"/>
      <w:r/>
      <w:bookmarkStart w:id="659" w:name="_Toc150774754"/>
      <w:r/>
      <w:bookmarkStart w:id="660" w:name="_Toc164351643"/>
      <w:r/>
      <w:bookmarkStart w:id="661" w:name="_Toc305158891"/>
      <w:r/>
      <w:bookmarkStart w:id="662" w:name="_Toc151190176"/>
      <w:r/>
      <w:bookmarkStart w:id="663" w:name="_Toc151193937"/>
      <w:r/>
      <w:bookmarkStart w:id="664" w:name="_Toc127151549"/>
      <w:r/>
      <w:bookmarkStart w:id="665" w:name="_Toc151193791"/>
      <w:r/>
      <w:bookmarkStart w:id="666" w:name="_Toc127151750"/>
      <w:r/>
      <w:bookmarkStart w:id="667" w:name="_Toc127161463"/>
      <w:r/>
      <w:bookmarkStart w:id="668" w:name="_Toc150480787"/>
      <w:r/>
      <w:bookmarkStart w:id="669" w:name="_Toc226337245"/>
      <w:r/>
      <w:bookmarkStart w:id="670" w:name="_Toc151193647"/>
      <w:r/>
      <w:bookmarkStart w:id="671" w:name="_Toc226965822"/>
      <w:r/>
      <w:bookmarkStart w:id="672" w:name="_Toc195842914"/>
      <w:r/>
      <w:bookmarkStart w:id="673" w:name="_Toc149720842"/>
      <w:r/>
      <w:bookmarkStart w:id="674" w:name="_Toc164229390"/>
      <w:r/>
      <w:bookmarkStart w:id="675" w:name="_Toc226965739"/>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68"/>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7204"/>
      <w:r/>
      <w:bookmarkStart w:id="677" w:name="_Toc150774650"/>
      <w:r/>
      <w:bookmarkStart w:id="678" w:name="_Ref467307062"/>
      <w:r/>
      <w:bookmarkStart w:id="679" w:name="_Toc127161464"/>
      <w:r/>
      <w:bookmarkStart w:id="680" w:name="_Toc151193864"/>
      <w:r/>
      <w:bookmarkStart w:id="681" w:name="_Toc149720843"/>
      <w:r/>
      <w:bookmarkStart w:id="682" w:name="_Toc305158818"/>
      <w:r/>
      <w:bookmarkStart w:id="683" w:name="_Toc164351644"/>
      <w:r/>
      <w:bookmarkStart w:id="684" w:name="_Toc164229245"/>
      <w:r/>
      <w:bookmarkStart w:id="685" w:name="_Toc226309794"/>
      <w:r/>
      <w:bookmarkStart w:id="686" w:name="_Toc226965823"/>
      <w:r/>
      <w:bookmarkStart w:id="687" w:name="_Toc150509301"/>
      <w:r/>
      <w:bookmarkStart w:id="688" w:name="_Toc226965740"/>
      <w:r/>
      <w:bookmarkStart w:id="689" w:name="_Toc265228388"/>
      <w:r/>
      <w:bookmarkStart w:id="690" w:name="_Ref467306377"/>
      <w:r/>
      <w:bookmarkStart w:id="691" w:name="_Toc151193648"/>
      <w:r/>
      <w:bookmarkStart w:id="692" w:name="_Toc127151550"/>
      <w:r/>
      <w:bookmarkStart w:id="693" w:name="_Toc142311052"/>
      <w:r/>
      <w:bookmarkStart w:id="694" w:name="_Toc164608664"/>
      <w:r/>
      <w:bookmarkStart w:id="695" w:name="_Toc164608819"/>
      <w:r/>
      <w:bookmarkStart w:id="696" w:name="_Toc127151751"/>
      <w:r/>
      <w:bookmarkStart w:id="697" w:name="_Toc520356175"/>
      <w:r/>
      <w:bookmarkStart w:id="698" w:name="_Toc150774755"/>
      <w:r/>
      <w:bookmarkStart w:id="699" w:name="_Toc151193720"/>
      <w:r/>
      <w:bookmarkStart w:id="700" w:name="_Toc264969240"/>
      <w:r/>
      <w:bookmarkStart w:id="701" w:name="_Toc151193938"/>
      <w:r/>
      <w:bookmarkStart w:id="702" w:name="_Toc305158892"/>
      <w:r/>
      <w:bookmarkStart w:id="703" w:name="_Toc150480788"/>
      <w:r/>
      <w:bookmarkStart w:id="704" w:name="_Toc164229391"/>
      <w:r/>
      <w:bookmarkStart w:id="705" w:name="_Toc151190177"/>
      <w:r/>
      <w:bookmarkStart w:id="706" w:name="_Toc151193792"/>
      <w:r/>
      <w:bookmarkStart w:id="707" w:name="_Ref467306978"/>
      <w:r/>
      <w:bookmarkStart w:id="708" w:name="_Toc195842915"/>
      <w:r/>
      <w:bookmarkStart w:id="709" w:name="_Toc226337246"/>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68"/>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3"/>
          <w:rFonts w:hint="eastAsia" w:ascii="宋体" w:hAnsi="宋体" w:cs="宋体"/>
          <w:color w:val="000000"/>
          <w:highlight w:val="none"/>
        </w:rPr>
        <w:t xml:space="preserve">http://gk</w:t>
      </w:r>
      <w:bookmarkStart w:id="710" w:name="_Hlt100654014"/>
      <w:r>
        <w:rPr>
          <w:rStyle w:val="1143"/>
          <w:rFonts w:hint="eastAsia" w:ascii="宋体" w:hAnsi="宋体" w:cs="宋体"/>
          <w:color w:val="000000"/>
          <w:highlight w:val="none"/>
        </w:rPr>
        <w:t xml:space="preserve">s</w:t>
      </w:r>
      <w:bookmarkEnd w:id="710"/>
      <w:r>
        <w:rPr>
          <w:rStyle w:val="1143"/>
          <w:rFonts w:hint="eastAsia" w:ascii="宋体" w:hAnsi="宋体" w:cs="宋体"/>
          <w:color w:val="000000"/>
          <w:highlight w:val="none"/>
        </w:rPr>
        <w:t xml:space="preserve">.m</w:t>
      </w:r>
      <w:bookmarkStart w:id="711" w:name="_Hlt100653994"/>
      <w:r/>
      <w:bookmarkStart w:id="712" w:name="_Hlt100653993"/>
      <w:r>
        <w:rPr>
          <w:rStyle w:val="1143"/>
          <w:rFonts w:hint="eastAsia" w:ascii="宋体" w:hAnsi="宋体" w:cs="宋体"/>
          <w:color w:val="000000"/>
          <w:highlight w:val="none"/>
        </w:rPr>
        <w:t xml:space="preserve">o</w:t>
      </w:r>
      <w:bookmarkEnd w:id="711"/>
      <w:r/>
      <w:bookmarkEnd w:id="712"/>
      <w:r>
        <w:rPr>
          <w:rStyle w:val="1143"/>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68"/>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68"/>
        <w:jc w:val="center"/>
        <w:spacing w:line="360" w:lineRule="auto"/>
        <w:rPr>
          <w:rFonts w:hint="eastAsia" w:ascii="宋体" w:hAnsi="宋体" w:cs="宋体"/>
          <w:b/>
          <w:color w:val="000000"/>
          <w:sz w:val="36"/>
          <w:szCs w:val="36"/>
          <w:highlight w:val="none"/>
        </w:rPr>
        <w:outlineLvl w:val="0"/>
      </w:pPr>
      <w:r/>
      <w:bookmarkStart w:id="713" w:name="_Toc264969244"/>
      <w:r/>
      <w:bookmarkStart w:id="714" w:name="_Toc127151554"/>
      <w:r/>
      <w:bookmarkStart w:id="715" w:name="_Toc353873934"/>
      <w:r/>
      <w:bookmarkStart w:id="716" w:name="_Toc150480792"/>
      <w:r/>
      <w:bookmarkStart w:id="717" w:name="_Toc265228392"/>
      <w:r/>
      <w:bookmarkStart w:id="718" w:name="_Toc305158896"/>
      <w:r/>
      <w:bookmarkStart w:id="719" w:name="_Toc305158822"/>
      <w:r/>
      <w:bookmarkStart w:id="720" w:name="_Toc150774759"/>
      <w:r/>
      <w:bookmarkStart w:id="721" w:name="_Toc226337250"/>
      <w:r/>
      <w:bookmarkStart w:id="722" w:name="_Toc353873664"/>
      <w:r/>
      <w:bookmarkStart w:id="723" w:name="_Toc353825544"/>
      <w:r/>
      <w:bookmarkStart w:id="724" w:name="_Toc142311056"/>
      <w:r/>
      <w:bookmarkStart w:id="725" w:name="_Toc226965827"/>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68"/>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68"/>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6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注2：残疾人福利性单位须按招标文件要求提供《残疾人福利性单位声明函》。</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68"/>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127151779"/>
      <w:r/>
      <w:bookmarkStart w:id="732" w:name="_Toc127161490"/>
      <w:r/>
      <w:bookmarkStart w:id="733" w:name="_Toc226965858"/>
      <w:r/>
      <w:bookmarkStart w:id="734"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68"/>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68"/>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68"/>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42311043"/>
      <w:r/>
      <w:bookmarkStart w:id="738" w:name="_Toc226309785"/>
      <w:r/>
      <w:bookmarkStart w:id="739" w:name="_Toc149720834"/>
      <w:r/>
      <w:bookmarkStart w:id="740" w:name="_Toc127151541"/>
      <w:r/>
      <w:bookmarkStart w:id="741" w:name="_Toc164229236"/>
      <w:r/>
      <w:bookmarkStart w:id="742" w:name="_Toc151193639"/>
      <w:r/>
      <w:bookmarkStart w:id="743" w:name="_Toc195842906"/>
      <w:r/>
      <w:bookmarkStart w:id="744" w:name="_Toc151193783"/>
      <w:r/>
      <w:bookmarkStart w:id="745" w:name="_Toc305158883"/>
      <w:r/>
      <w:bookmarkStart w:id="746" w:name="_Toc226965731"/>
      <w:r/>
      <w:bookmarkStart w:id="747" w:name="_Toc150774641"/>
      <w:r/>
      <w:bookmarkStart w:id="748" w:name="_Toc151193711"/>
      <w:r/>
      <w:bookmarkStart w:id="749" w:name="_Toc226965814"/>
      <w:r/>
      <w:bookmarkStart w:id="750" w:name="_Toc226337237"/>
      <w:r/>
      <w:bookmarkStart w:id="751" w:name="_Toc127161455"/>
      <w:r/>
      <w:bookmarkStart w:id="752" w:name="_Toc150774746"/>
      <w:r/>
      <w:bookmarkStart w:id="753" w:name="_Toc151193929"/>
      <w:r/>
      <w:bookmarkStart w:id="754" w:name="_Toc164608810"/>
      <w:r/>
      <w:bookmarkStart w:id="755" w:name="_Toc150480779"/>
      <w:r/>
      <w:bookmarkStart w:id="756" w:name="_Toc264969231"/>
      <w:r/>
      <w:bookmarkStart w:id="757" w:name="_Toc164608655"/>
      <w:r/>
      <w:bookmarkStart w:id="758" w:name="_Toc164351635"/>
      <w:r/>
      <w:bookmarkStart w:id="759" w:name="_Toc265228379"/>
      <w:r/>
      <w:bookmarkStart w:id="760" w:name="_Toc164229382"/>
      <w:r/>
      <w:bookmarkStart w:id="761" w:name="_Toc305158809"/>
      <w:r/>
      <w:bookmarkStart w:id="762" w:name="_Toc127151742"/>
      <w:r/>
      <w:bookmarkStart w:id="763" w:name="_Toc151190168"/>
      <w:r/>
      <w:bookmarkStart w:id="764" w:name="_Toc151193855"/>
      <w:r/>
      <w:bookmarkStart w:id="765" w:name="_Toc150509292"/>
      <w:r/>
      <w:bookmarkStart w:id="766" w:name="_Toc353873941"/>
      <w:r/>
      <w:bookmarkStart w:id="767" w:name="_Toc353825551"/>
      <w:r/>
      <w:bookmarkStart w:id="768" w:name="_Toc150480793"/>
      <w:r/>
      <w:bookmarkStart w:id="769" w:name="_Toc195842920"/>
      <w:r/>
      <w:bookmarkStart w:id="770" w:name="_Toc353825545"/>
      <w:r/>
      <w:bookmarkStart w:id="771" w:name="_Toc226337251"/>
      <w:r/>
      <w:bookmarkStart w:id="772" w:name="_Toc353873935"/>
      <w:r/>
      <w:bookmarkStart w:id="773" w:name="_Toc127151555"/>
      <w:r/>
      <w:bookmarkStart w:id="774" w:name="_Toc142311057"/>
      <w:r/>
      <w:bookmarkStart w:id="775" w:name="_Toc264969245"/>
      <w:r/>
      <w:bookmarkStart w:id="776" w:name="_Toc265228393"/>
      <w:r/>
      <w:bookmarkStart w:id="777" w:name="_Toc305158897"/>
      <w:r/>
      <w:bookmarkStart w:id="778" w:name="_Toc305158823"/>
      <w:r/>
      <w:bookmarkStart w:id="779" w:name="_Toc353873665"/>
      <w:r/>
      <w:bookmarkStart w:id="780" w:name="_Toc226965828"/>
      <w:r/>
      <w:bookmarkStart w:id="781" w:name="_Toc150774760"/>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68"/>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6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6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6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68"/>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6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6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Ref467307010"/>
      <w:r/>
      <w:bookmarkStart w:id="784" w:name="_Toc151193788"/>
      <w:r/>
      <w:bookmarkStart w:id="785" w:name="_Toc151193644"/>
      <w:r/>
      <w:bookmarkStart w:id="786" w:name="_Toc264969236"/>
      <w:r/>
      <w:bookmarkStart w:id="787" w:name="_Toc226965819"/>
      <w:r/>
      <w:bookmarkStart w:id="788" w:name="_Toc127161460"/>
      <w:r/>
      <w:bookmarkStart w:id="789" w:name="_Toc151190173"/>
      <w:r/>
      <w:bookmarkStart w:id="790" w:name="_Toc151193934"/>
      <w:r/>
      <w:bookmarkStart w:id="791" w:name="_Toc305158814"/>
      <w:r/>
      <w:bookmarkStart w:id="792" w:name="_Toc151193860"/>
      <w:r/>
      <w:bookmarkStart w:id="793" w:name="_Toc127151546"/>
      <w:r/>
      <w:bookmarkStart w:id="794" w:name="_Toc149720839"/>
      <w:r/>
      <w:bookmarkStart w:id="795" w:name="_Toc164351640"/>
      <w:r/>
      <w:bookmarkStart w:id="796" w:name="_Toc265228384"/>
      <w:r/>
      <w:bookmarkStart w:id="797" w:name="_Toc150509297"/>
      <w:r/>
      <w:bookmarkStart w:id="798" w:name="_Toc226309790"/>
      <w:r/>
      <w:bookmarkStart w:id="799" w:name="_Toc150774646"/>
      <w:r/>
      <w:bookmarkStart w:id="800" w:name="_Toc195842911"/>
      <w:r/>
      <w:bookmarkStart w:id="801" w:name="_Toc164608815"/>
      <w:r/>
      <w:bookmarkStart w:id="802" w:name="_Toc142311048"/>
      <w:r/>
      <w:bookmarkStart w:id="803" w:name="_Toc164229387"/>
      <w:r/>
      <w:bookmarkStart w:id="804" w:name="_Toc164608660"/>
      <w:r/>
      <w:bookmarkStart w:id="805" w:name="_Toc127151747"/>
      <w:r/>
      <w:bookmarkStart w:id="806" w:name="_Toc151193716"/>
      <w:r/>
      <w:bookmarkStart w:id="807" w:name="_Toc164229241"/>
      <w:r/>
      <w:bookmarkStart w:id="808" w:name="_Toc150480784"/>
      <w:r/>
      <w:bookmarkStart w:id="809" w:name="_Toc305158888"/>
      <w:r/>
      <w:bookmarkStart w:id="810" w:name="_Toc520356170"/>
      <w:r/>
      <w:bookmarkStart w:id="811" w:name="_Toc150774751"/>
      <w:r/>
      <w:bookmarkStart w:id="812" w:name="_Toc226337242"/>
      <w:r/>
      <w:bookmarkStart w:id="813" w:name="_Toc226965736"/>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68"/>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68"/>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08"/>
        <w:gridCol w:w="659"/>
        <w:gridCol w:w="3969"/>
        <w:gridCol w:w="2258"/>
      </w:tblGrid>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608"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659"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3969"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2258" w:type="dxa"/>
            <w:vAlign w:val="center"/>
            <w:textDirection w:val="lrTb"/>
            <w:noWrap w:val="false"/>
          </w:tcPr>
          <w:p>
            <w:pPr>
              <w:pStyle w:val="1312"/>
              <w:ind w:left="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color w:val="000000"/>
                <w:sz w:val="24"/>
                <w:szCs w:val="24"/>
                <w:highlight w:val="none"/>
              </w:rPr>
            </w:r>
            <w:r/>
          </w:p>
        </w:tc>
        <w:tc>
          <w:tcPr>
            <w:tcW w:w="1608"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659"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3969" w:type="dxa"/>
            <w:vAlign w:val="center"/>
            <w:textDirection w:val="lrTb"/>
            <w:noWrap w:val="false"/>
          </w:tcPr>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投标报价得分＝（评标基准价/投标报价）×分值。</w:t>
            </w:r>
            <w:r>
              <w:rPr>
                <w:rFonts w:hint="eastAsia" w:ascii="宋体" w:hAnsi="宋体" w:eastAsia="宋体" w:cs="宋体"/>
                <w:color w:val="000000"/>
                <w:sz w:val="24"/>
                <w:szCs w:val="24"/>
                <w:highlight w:val="none"/>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szCs w:val="24"/>
                <w:highlight w:val="none"/>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08"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659"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36</w:t>
            </w:r>
            <w:r>
              <w:rPr>
                <w:rFonts w:ascii="宋体" w:hAnsi="宋体" w:eastAsia="宋体" w:cs="宋体"/>
                <w:color w:val="000000"/>
                <w:sz w:val="24"/>
                <w:szCs w:val="24"/>
                <w:highlight w:val="none"/>
                <w:lang w:val="en-US" w:eastAsia="zh-CN"/>
              </w:rPr>
            </w:r>
            <w:r/>
          </w:p>
        </w:tc>
        <w:tc>
          <w:tcPr>
            <w:tcW w:w="3969" w:type="dxa"/>
            <w:vAlign w:val="center"/>
            <w:textDirection w:val="lrTb"/>
            <w:noWrap w:val="false"/>
          </w:tcPr>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608"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rPr>
              <w:t xml:space="preserve">管理机构和管理制度</w:t>
            </w:r>
            <w:r>
              <w:rPr>
                <w:rFonts w:hint="eastAsia" w:ascii="宋体" w:hAnsi="宋体" w:eastAsia="宋体" w:cs="宋体"/>
                <w:color w:val="000000"/>
                <w:sz w:val="24"/>
                <w:szCs w:val="24"/>
                <w:highlight w:val="none"/>
                <w:shd w:val="clear" w:color="auto" w:fill="auto"/>
                <w:lang w:val="en-US" w:eastAsia="zh-CN" w:bidi="ar-SA"/>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有完整的管理机构配备</w:t>
            </w:r>
            <w:r>
              <w:rPr>
                <w:rFonts w:hint="eastAsia" w:ascii="宋体" w:hAnsi="宋体" w:eastAsia="宋体" w:cs="宋体"/>
                <w:color w:val="000000"/>
                <w:sz w:val="24"/>
                <w:szCs w:val="24"/>
                <w:highlight w:val="none"/>
                <w:lang w:val="en-US" w:eastAsia="zh-CN"/>
              </w:rPr>
              <w:t xml:space="preserve">以及管理平台</w:t>
            </w:r>
            <w:r>
              <w:rPr>
                <w:rFonts w:hint="eastAsia" w:ascii="宋体" w:hAnsi="宋体" w:eastAsia="宋体" w:cs="宋体"/>
                <w:color w:val="000000"/>
                <w:sz w:val="24"/>
                <w:szCs w:val="24"/>
                <w:highlight w:val="none"/>
              </w:rPr>
              <w:t xml:space="preserve">；有道路环卫机械化及人工作业管理制度；有垃圾收运作业管理制度；有公厕管理和保洁作业制度；</w:t>
            </w:r>
            <w:r>
              <w:rPr>
                <w:rFonts w:hint="eastAsia" w:ascii="宋体" w:hAnsi="宋体" w:eastAsia="宋体" w:cs="宋体"/>
                <w:color w:val="000000"/>
                <w:sz w:val="24"/>
                <w:szCs w:val="24"/>
                <w:highlight w:val="none"/>
                <w:lang w:val="en-US" w:eastAsia="zh-CN"/>
              </w:rPr>
              <w:t xml:space="preserve">有河道保洁作业制度；有绿化养护人员组织及落实制度（方案内容包括：项目部组织网络；作业落实制度具体人员的权责、分工描述、作业时间、巡查检查制度，有奖惩措施；巡查时间安排合理措施及巡查资料上报准确性、及时措施，并承诺绿地发生破坏或侵占第一时间上报制度）；</w:t>
            </w:r>
            <w:r>
              <w:rPr>
                <w:rFonts w:hint="eastAsia" w:ascii="宋体" w:hAnsi="宋体" w:eastAsia="宋体" w:cs="宋体"/>
                <w:color w:val="000000"/>
                <w:sz w:val="24"/>
                <w:szCs w:val="24"/>
                <w:highlight w:val="none"/>
              </w:rPr>
              <w:t xml:space="preserve">有员工录用、考核和淘汰制度和员工培训计划。</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方案内容包括上述</w:t>
            </w:r>
            <w:r>
              <w:rPr>
                <w:rFonts w:hint="eastAsia" w:ascii="宋体" w:hAnsi="宋体" w:eastAsia="宋体" w:cs="宋体"/>
                <w:color w:val="000000"/>
                <w:sz w:val="24"/>
                <w:szCs w:val="24"/>
                <w:highlight w:val="none"/>
                <w:lang w:val="en-US" w:eastAsia="zh-CN"/>
              </w:rPr>
              <w:t xml:space="preserve">内容，由评委综合评判</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方案针对性、操作性强，计划安排合理的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方案针对性、操作性较强，计划安排较为合理</w:t>
            </w:r>
            <w:r>
              <w:rPr>
                <w:rFonts w:hint="eastAsia" w:ascii="宋体" w:hAnsi="宋体" w:eastAsia="宋体" w:cs="宋体"/>
                <w:color w:val="000000"/>
                <w:sz w:val="24"/>
                <w:szCs w:val="24"/>
                <w:highlight w:val="none"/>
                <w:lang w:eastAsia="zh-CN"/>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方案针对性、操作性一般，计划安排不够合理的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未提供方案不得分。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w:t>
            </w:r>
            <w:r>
              <w:rPr>
                <w:rFonts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firstLine="28"/>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道路环卫机械化作业</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bidi="ar-SA"/>
              </w:rPr>
            </w:r>
            <w:r/>
          </w:p>
        </w:tc>
        <w:tc>
          <w:tcPr>
            <w:tcW w:w="659" w:type="dxa"/>
            <w:vAlign w:val="center"/>
            <w:textDirection w:val="lrTb"/>
            <w:noWrap w:val="false"/>
          </w:tcPr>
          <w:p>
            <w:pPr>
              <w:pStyle w:val="1068"/>
              <w:ind w:firstLine="28"/>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道路环卫机械化作业组织方案及流程（含机械化清扫、冲洗、洒水、清洗和机械化收集的全过程）。方案内容包括上述</w:t>
            </w:r>
            <w:r>
              <w:rPr>
                <w:rFonts w:hint="eastAsia" w:ascii="宋体" w:hAnsi="宋体" w:eastAsia="宋体" w:cs="宋体"/>
                <w:color w:val="000000"/>
                <w:sz w:val="24"/>
                <w:szCs w:val="24"/>
                <w:highlight w:val="none"/>
                <w:lang w:val="en-US" w:eastAsia="zh-CN"/>
              </w:rPr>
              <w:t xml:space="preserve">内容，由评委综合评判</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方案针对性、操作性强，计划安排合理的得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方案针对性、操作性较强，计划安排较为合理的的得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方案针对性、操作性一般，计划安排不够合理的得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未提供方案不得分。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w:t>
            </w:r>
            <w:r>
              <w:rPr>
                <w:rFonts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firstLine="28"/>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人工作业组织方案及流程</w:t>
            </w:r>
            <w:r>
              <w:rPr>
                <w:rFonts w:hint="eastAsia" w:ascii="宋体" w:hAnsi="宋体" w:eastAsia="宋体" w:cs="宋体"/>
                <w:color w:val="000000"/>
                <w:sz w:val="24"/>
                <w:szCs w:val="24"/>
                <w:highlight w:val="none"/>
                <w:lang w:val="en-US" w:eastAsia="zh-CN" w:bidi="ar-SA"/>
              </w:rPr>
            </w:r>
            <w:r/>
          </w:p>
        </w:tc>
        <w:tc>
          <w:tcPr>
            <w:tcW w:w="659" w:type="dxa"/>
            <w:vAlign w:val="center"/>
            <w:textDirection w:val="lrTb"/>
            <w:noWrap w:val="false"/>
          </w:tcPr>
          <w:p>
            <w:pPr>
              <w:pStyle w:val="1068"/>
              <w:ind w:firstLine="28"/>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人工作业组织方案及流程（含道路人工保洁、小型高压冲洗作业（重点突出道板和局部污染的冲洗）、花台石凳保洁、公厕保洁/维护/清窖、果壳箱/垃圾桶收集清洗维护）。方案内容包括上述</w:t>
            </w:r>
            <w:r>
              <w:rPr>
                <w:rFonts w:hint="eastAsia" w:ascii="宋体" w:hAnsi="宋体" w:eastAsia="宋体" w:cs="宋体"/>
                <w:color w:val="000000"/>
                <w:sz w:val="24"/>
                <w:szCs w:val="24"/>
                <w:highlight w:val="none"/>
                <w:lang w:val="en-US" w:eastAsia="zh-CN"/>
              </w:rPr>
              <w:t xml:space="preserve">内容，由评委综合评判</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方案针对性、操作性强，计划安排合理的得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方案针对性、操作性较强，计划安排较为合理的的得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方案针对性、操作性一般，计划安排不够合理的得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未提供方案不得分。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w:t>
            </w:r>
            <w:r>
              <w:rPr>
                <w:rFonts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firstLine="28"/>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垃圾收运作业组织方案及流程</w:t>
            </w:r>
            <w:r>
              <w:rPr>
                <w:rFonts w:hint="eastAsia" w:ascii="宋体" w:hAnsi="宋体" w:eastAsia="宋体" w:cs="宋体"/>
                <w:color w:val="000000"/>
                <w:sz w:val="24"/>
                <w:szCs w:val="24"/>
                <w:highlight w:val="none"/>
                <w:lang w:val="en-US" w:eastAsia="zh-CN" w:bidi="ar-SA"/>
              </w:rPr>
            </w:r>
            <w:r/>
          </w:p>
        </w:tc>
        <w:tc>
          <w:tcPr>
            <w:tcW w:w="659" w:type="dxa"/>
            <w:vAlign w:val="center"/>
            <w:textDirection w:val="lrTb"/>
            <w:noWrap w:val="false"/>
          </w:tcPr>
          <w:p>
            <w:pPr>
              <w:pStyle w:val="1068"/>
              <w:ind w:firstLine="28"/>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垃圾收运作业组织方案及流程（含道路沿线垃圾的巡回收集和垃圾分类收集的方案及实施过程）。方案内容包括上述</w:t>
            </w:r>
            <w:r>
              <w:rPr>
                <w:rFonts w:hint="eastAsia" w:ascii="宋体" w:hAnsi="宋体" w:eastAsia="宋体" w:cs="宋体"/>
                <w:color w:val="000000"/>
                <w:sz w:val="24"/>
                <w:szCs w:val="24"/>
                <w:highlight w:val="none"/>
                <w:lang w:val="en-US" w:eastAsia="zh-CN"/>
              </w:rPr>
              <w:t xml:space="preserve">内容，由评委综合评判</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方案针对性、操作性强，计划安排合理的得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方案针对性、操作性较强，计划安排较为合理的的得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方案针对性、操作性一般，计划安排不够合理的得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未提供方案不得分。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firstLine="28"/>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环卫</w:t>
            </w:r>
            <w:r>
              <w:rPr>
                <w:rFonts w:hint="eastAsia" w:ascii="宋体" w:hAnsi="宋体" w:eastAsia="宋体" w:cs="宋体"/>
                <w:color w:val="000000"/>
                <w:sz w:val="24"/>
                <w:szCs w:val="24"/>
                <w:highlight w:val="none"/>
              </w:rPr>
              <w:t xml:space="preserve">作业人员配备及作业时间</w:t>
            </w:r>
            <w:r>
              <w:rPr>
                <w:rFonts w:hint="eastAsia" w:ascii="宋体" w:hAnsi="宋体" w:eastAsia="宋体" w:cs="宋体"/>
                <w:color w:val="000000"/>
                <w:sz w:val="24"/>
                <w:szCs w:val="24"/>
                <w:highlight w:val="none"/>
                <w:lang w:val="en-US" w:eastAsia="zh-CN" w:bidi="ar-SA"/>
              </w:rPr>
            </w:r>
            <w:r/>
          </w:p>
        </w:tc>
        <w:tc>
          <w:tcPr>
            <w:tcW w:w="659" w:type="dxa"/>
            <w:vAlign w:val="center"/>
            <w:textDirection w:val="lrTb"/>
            <w:noWrap w:val="false"/>
          </w:tcPr>
          <w:p>
            <w:pPr>
              <w:pStyle w:val="1068"/>
              <w:ind w:firstLine="28"/>
              <w:jc w:val="center"/>
              <w:keepLines w:val="0"/>
              <w:keepNext w:val="0"/>
              <w:pageBreakBefore w:val="0"/>
              <w:spacing w:line="40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环卫</w:t>
            </w:r>
            <w:r>
              <w:rPr>
                <w:rFonts w:hint="eastAsia" w:ascii="宋体" w:hAnsi="宋体" w:eastAsia="宋体" w:cs="宋体"/>
                <w:color w:val="000000"/>
                <w:sz w:val="24"/>
                <w:szCs w:val="24"/>
                <w:highlight w:val="none"/>
              </w:rPr>
              <w:t xml:space="preserve">作业人员配备及作业时间安排方案；作业车辆及设备投入方案；进退场交接措施方案。</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方案内容包括上述</w:t>
            </w:r>
            <w:r>
              <w:rPr>
                <w:rFonts w:hint="eastAsia" w:ascii="宋体" w:hAnsi="宋体" w:eastAsia="宋体" w:cs="宋体"/>
                <w:color w:val="000000"/>
                <w:sz w:val="24"/>
                <w:szCs w:val="24"/>
                <w:highlight w:val="none"/>
                <w:lang w:val="en-US" w:eastAsia="zh-CN"/>
              </w:rPr>
              <w:t xml:space="preserve">内容，由评委综合评判</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方案针对性、操作性强，计划安排合理的得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方案针对性、操作性较强，计划安排较为合理的的得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方案针对性、操作性一般，计划安排不够合理的得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firstLine="480"/>
              <w:keepLines w:val="0"/>
              <w:keepNext w:val="0"/>
              <w:pageBreakBefore w:val="0"/>
              <w:spacing w:line="400" w:lineRule="exact"/>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未提供方案不得分。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2.6</w:t>
            </w:r>
            <w:r>
              <w:rPr>
                <w:rFonts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lang w:val="en-US" w:eastAsia="zh-CN"/>
              </w:rPr>
              <w:t xml:space="preserve">绿化养护方案</w:t>
            </w:r>
            <w:r>
              <w:rPr>
                <w:rFonts w:hint="eastAsia" w:ascii="宋体" w:hAnsi="宋体" w:eastAsia="宋体" w:cs="宋体"/>
                <w:color w:val="000000"/>
                <w:sz w:val="24"/>
                <w:szCs w:val="24"/>
                <w:highlight w:val="none"/>
                <w:shd w:val="clear" w:color="auto" w:fill="auto"/>
                <w:lang w:val="en-US" w:eastAsia="zh-CN" w:bidi="ar-SA"/>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根据投标人提供的绿化养护方案</w:t>
            </w:r>
            <w:r>
              <w:rPr>
                <w:rFonts w:hint="eastAsia" w:ascii="宋体" w:hAnsi="宋体" w:eastAsia="宋体" w:cs="宋体"/>
                <w:color w:val="000000"/>
                <w:sz w:val="24"/>
                <w:szCs w:val="24"/>
                <w:highlight w:val="none"/>
                <w:lang w:val="en-US" w:eastAsia="zh-CN"/>
              </w:rPr>
              <w:t xml:space="preserve">（包含但不限于</w:t>
            </w:r>
            <w:r>
              <w:rPr>
                <w:rFonts w:hint="eastAsia" w:ascii="宋体" w:hAnsi="宋体" w:eastAsia="宋体" w:cs="宋体"/>
                <w:color w:val="000000"/>
                <w:sz w:val="24"/>
                <w:szCs w:val="24"/>
                <w:highlight w:val="none"/>
                <w:lang w:val="en-US" w:eastAsia="zh-CN"/>
              </w:rPr>
              <w:t xml:space="preserve">绿化养护常规作业组织方案；有详细的全年病虫害防治计划，针对常发性病害和虫害，制定科学合理的病虫害防治月历；根据养护区域、季节采取相应除草措施，有响应养护月历的浇水、排水要求，根据生长规律制定出有效的施肥方案；巡视时间安排，巡视资料上报确保准确、及时的方案，绿地发生破坏或侵占第一时间上报的方案；绿化补种措施（绿化补种含绿化踩踏、缺株、死株更换、绿地种菜恢复、无手续行政开挖恢复等所有绿化补种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方案内容包括上述</w:t>
            </w:r>
            <w:r>
              <w:rPr>
                <w:rFonts w:hint="eastAsia" w:ascii="宋体" w:hAnsi="宋体" w:eastAsia="宋体" w:cs="宋体"/>
                <w:color w:val="000000"/>
                <w:sz w:val="24"/>
                <w:szCs w:val="24"/>
                <w:highlight w:val="none"/>
                <w:lang w:val="en-US" w:eastAsia="zh-CN"/>
              </w:rPr>
              <w:t xml:space="preserve">内容，由评委综合评判</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方案针对性、操作性强，计划安排合理的，得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方案针对性、操作性较强，计划安排较为合理的，得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方案针对性、操作性一般，计划安排不够合理的，得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未提供方案不得分。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w:t>
            </w:r>
            <w:r>
              <w:rPr>
                <w:rFonts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lang w:val="en-US" w:eastAsia="zh-CN"/>
              </w:rPr>
              <w:t xml:space="preserve">重点特色树种及其他乔灌草的修剪措施</w:t>
            </w:r>
            <w:r>
              <w:rPr>
                <w:rFonts w:hint="eastAsia" w:ascii="宋体" w:hAnsi="宋体" w:eastAsia="宋体" w:cs="宋体"/>
                <w:color w:val="000000"/>
                <w:sz w:val="24"/>
                <w:szCs w:val="24"/>
                <w:highlight w:val="none"/>
                <w:shd w:val="clear" w:color="auto" w:fill="auto"/>
                <w:lang w:val="en-US" w:eastAsia="zh-CN" w:bidi="ar-SA"/>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重点特色树种及其他乔灌草的修剪措施</w:t>
            </w:r>
            <w:r>
              <w:rPr>
                <w:rFonts w:hint="eastAsia" w:ascii="宋体" w:hAnsi="宋体" w:eastAsia="宋体" w:cs="宋体"/>
                <w:color w:val="000000"/>
                <w:sz w:val="24"/>
                <w:szCs w:val="24"/>
                <w:highlight w:val="none"/>
                <w:lang w:val="en-US" w:eastAsia="zh-CN"/>
              </w:rPr>
              <w:t xml:space="preserve">（包含但不限于</w:t>
            </w:r>
            <w:r>
              <w:rPr>
                <w:rFonts w:hint="eastAsia" w:ascii="宋体" w:hAnsi="宋体" w:eastAsia="宋体" w:cs="宋体"/>
                <w:color w:val="000000"/>
                <w:sz w:val="24"/>
                <w:szCs w:val="24"/>
                <w:highlight w:val="none"/>
                <w:lang w:val="en-US" w:eastAsia="zh-CN"/>
              </w:rPr>
              <w:t xml:space="preserve">针对不同行道树制定有针对性修剪措施；其他乔木、花灌木、草坪、绿篱及地被等根据生长特性和季节制定合理的修剪措施；符合实际的特色造型、景观树的修剪措施</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方案内容包括上述</w:t>
            </w:r>
            <w:r>
              <w:rPr>
                <w:rFonts w:hint="eastAsia" w:ascii="宋体" w:hAnsi="宋体" w:eastAsia="宋体" w:cs="宋体"/>
                <w:color w:val="000000"/>
                <w:sz w:val="24"/>
                <w:szCs w:val="24"/>
                <w:highlight w:val="none"/>
                <w:lang w:val="en-US" w:eastAsia="zh-CN"/>
              </w:rPr>
              <w:t xml:space="preserve">内容，由评委综合评判</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方案完整且满足招标文件要求的，得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方案较完整且基本满足招标需求的，得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方案较差或有明显缺项的，得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未提供方案不得分。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2.8</w:t>
            </w:r>
            <w:r>
              <w:rPr>
                <w:rFonts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rPr>
              <w:t xml:space="preserve">安全、文明作业管理实施方案及保障措施</w:t>
            </w:r>
            <w:r>
              <w:rPr>
                <w:rFonts w:hint="eastAsia" w:ascii="宋体" w:hAnsi="宋体" w:eastAsia="宋体" w:cs="宋体"/>
                <w:color w:val="000000"/>
                <w:sz w:val="24"/>
                <w:szCs w:val="24"/>
                <w:highlight w:val="none"/>
                <w:shd w:val="clear" w:color="auto" w:fill="auto"/>
                <w:lang w:val="en-US" w:eastAsia="zh-CN" w:bidi="ar-SA"/>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根据投标人提供的</w:t>
            </w:r>
            <w:r>
              <w:rPr>
                <w:rFonts w:hint="eastAsia" w:ascii="宋体" w:hAnsi="宋体" w:eastAsia="宋体" w:cs="宋体"/>
                <w:color w:val="000000"/>
                <w:sz w:val="24"/>
                <w:szCs w:val="24"/>
                <w:highlight w:val="none"/>
              </w:rPr>
              <w:t xml:space="preserve">安全、文明作业管理实施方案及保障措施</w:t>
            </w:r>
            <w:r>
              <w:rPr>
                <w:rFonts w:hint="eastAsia" w:ascii="宋体" w:hAnsi="宋体" w:eastAsia="宋体" w:cs="宋体"/>
                <w:color w:val="000000"/>
                <w:sz w:val="24"/>
                <w:szCs w:val="24"/>
                <w:highlight w:val="none"/>
                <w:lang w:val="en-US" w:eastAsia="zh-CN"/>
              </w:rPr>
              <w:t xml:space="preserve">进行评审，包括不限于</w:t>
            </w:r>
            <w:r>
              <w:rPr>
                <w:rFonts w:hint="eastAsia" w:ascii="宋体" w:hAnsi="宋体" w:eastAsia="宋体" w:cs="宋体"/>
                <w:color w:val="000000"/>
                <w:sz w:val="24"/>
                <w:szCs w:val="24"/>
                <w:highlight w:val="none"/>
              </w:rPr>
              <w:t xml:space="preserve">安全制度、安全预案、全员安全培训计划；安全设施配备及安全检查及记录要求；意外伤害赔偿措施和风险规避措施；事故发生后的应对处理办法。方案内容包括上述</w:t>
            </w:r>
            <w:r>
              <w:rPr>
                <w:rFonts w:hint="eastAsia" w:ascii="宋体" w:hAnsi="宋体" w:eastAsia="宋体" w:cs="宋体"/>
                <w:color w:val="000000"/>
                <w:sz w:val="24"/>
                <w:szCs w:val="24"/>
                <w:highlight w:val="none"/>
                <w:lang w:val="en-US" w:eastAsia="zh-CN"/>
              </w:rPr>
              <w:t xml:space="preserve">内容，由评委综合评判</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方案内容完整、详细，措施具体，完全贴合项目特点和采购需求，具有很强的针对性的，得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方案内容较完整，措施基本具体，能够满足项目要求，具有一定针对性</w:t>
            </w:r>
            <w:r>
              <w:rPr>
                <w:rFonts w:hint="eastAsia" w:ascii="宋体" w:hAnsi="宋体" w:eastAsia="宋体" w:cs="宋体"/>
                <w:color w:val="000000"/>
                <w:sz w:val="24"/>
                <w:szCs w:val="24"/>
                <w:highlight w:val="none"/>
                <w:lang w:eastAsia="zh-CN"/>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方案内容简单，措施笼统，部分满足项目要求，针对性一般</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未提供方案不得分。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w:t>
            </w:r>
            <w:r>
              <w:rPr>
                <w:rFonts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恶劣天气应急预案</w:t>
            </w:r>
            <w:r>
              <w:rPr>
                <w:rFonts w:hint="eastAsia" w:ascii="宋体" w:hAnsi="宋体" w:eastAsia="宋体" w:cs="宋体"/>
                <w:bCs/>
                <w:color w:val="000000"/>
                <w:sz w:val="24"/>
                <w:szCs w:val="24"/>
                <w:highlight w:val="none"/>
                <w:lang w:val="en-US" w:eastAsia="zh-CN" w:bidi="ar-SA"/>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根据投标人提供的恶劣天气应急预案进行评审：</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应急预案详尽、针对性及可操作性强，计划安排合理，且有完备的应急物资贮备清单的，得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应急预案较详尽、针对性及可操作性较强，计划安排较合理，且有较完备的应急物资贮备清单的，得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应急预案基本详尽、针对性及可操作性一般，计划安排基本合理，应急物资贮备清单基本完备的，得1分；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未提供方案不得分。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rHeight w:val="3793"/>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重大活动，检查评比和节假日保障措施</w:t>
            </w:r>
            <w:r>
              <w:rPr>
                <w:rFonts w:hint="eastAsia" w:ascii="宋体" w:hAnsi="宋体" w:eastAsia="宋体" w:cs="宋体"/>
                <w:bCs/>
                <w:color w:val="000000"/>
                <w:sz w:val="24"/>
                <w:szCs w:val="24"/>
                <w:highlight w:val="none"/>
                <w:lang w:val="en-US" w:eastAsia="zh-CN" w:bidi="ar-SA"/>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根据投标人提供的</w:t>
            </w:r>
            <w:r>
              <w:rPr>
                <w:rFonts w:hint="eastAsia" w:ascii="宋体" w:hAnsi="宋体" w:eastAsia="宋体" w:cs="宋体"/>
                <w:color w:val="000000"/>
                <w:sz w:val="24"/>
                <w:szCs w:val="24"/>
                <w:highlight w:val="none"/>
              </w:rPr>
              <w:t xml:space="preserve">重大活动，检查评比和节假日保障方案</w:t>
            </w:r>
            <w:r>
              <w:rPr>
                <w:rFonts w:hint="eastAsia" w:ascii="宋体" w:hAnsi="宋体" w:eastAsia="宋体" w:cs="宋体"/>
                <w:color w:val="000000"/>
                <w:sz w:val="24"/>
                <w:szCs w:val="24"/>
                <w:highlight w:val="none"/>
                <w:lang w:val="en-US" w:eastAsia="zh-CN"/>
              </w:rPr>
              <w:t xml:space="preserve">进行评审</w:t>
            </w:r>
            <w:r>
              <w:rPr>
                <w:rFonts w:hint="eastAsia" w:ascii="宋体" w:hAnsi="宋体" w:eastAsia="宋体" w:cs="宋体"/>
                <w:color w:val="000000"/>
                <w:sz w:val="24"/>
                <w:szCs w:val="24"/>
                <w:highlight w:val="none"/>
              </w:rPr>
              <w:t xml:space="preserve">。</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方案针对性、操作性强，计划安排合理的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方案针对性、操作性较强，计划安排较为合理</w:t>
            </w:r>
            <w:r>
              <w:rPr>
                <w:rFonts w:hint="eastAsia" w:ascii="宋体" w:hAnsi="宋体" w:eastAsia="宋体" w:cs="宋体"/>
                <w:color w:val="000000"/>
                <w:sz w:val="24"/>
                <w:szCs w:val="24"/>
                <w:highlight w:val="none"/>
                <w:lang w:eastAsia="zh-CN"/>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，计划安排</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合理</w:t>
            </w:r>
            <w:r>
              <w:rPr>
                <w:rFonts w:hint="eastAsia" w:ascii="宋体" w:hAnsi="宋体" w:eastAsia="宋体" w:cs="宋体"/>
                <w:color w:val="000000"/>
                <w:sz w:val="24"/>
                <w:szCs w:val="24"/>
                <w:highlight w:val="none"/>
                <w:lang w:eastAsia="zh-CN"/>
              </w:rPr>
              <w:t xml:space="preserve">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未提供方案不得分。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rHeight w:val="67"/>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08"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659"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54</w:t>
            </w:r>
            <w:r>
              <w:rPr>
                <w:rFonts w:ascii="宋体" w:hAnsi="宋体" w:eastAsia="宋体" w:cs="宋体"/>
                <w:color w:val="000000"/>
                <w:sz w:val="24"/>
                <w:szCs w:val="24"/>
                <w:highlight w:val="none"/>
                <w:lang w:val="en-US" w:eastAsia="zh-CN"/>
              </w:rPr>
            </w:r>
            <w:r/>
          </w:p>
        </w:tc>
        <w:tc>
          <w:tcPr>
            <w:tcW w:w="3969" w:type="dxa"/>
            <w:vAlign w:val="center"/>
            <w:textDirection w:val="lrTb"/>
            <w:noWrap w:val="false"/>
          </w:tcPr>
          <w:p>
            <w:pPr>
              <w:pStyle w:val="1068"/>
              <w:ind w:left="0" w:firstLine="48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608"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业绩</w:t>
            </w:r>
            <w:r>
              <w:rPr>
                <w:rFonts w:hint="eastAsia" w:ascii="宋体" w:hAnsi="宋体" w:eastAsia="宋体" w:cs="宋体"/>
                <w:color w:val="000000"/>
                <w:sz w:val="24"/>
                <w:szCs w:val="24"/>
                <w:highlight w:val="none"/>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9</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widowControl w:val="off"/>
              <w:rPr>
                <w:rFonts w:hint="eastAsia" w:ascii="宋体" w:hAnsi="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日以来（以合同签订日期为准）承担过类似城市环卫作业业绩的，每提供一份合同得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left="0" w:firstLine="480"/>
              <w:keepLines w:val="0"/>
              <w:keepNext w:val="0"/>
              <w:pageBreakBefore w:val="0"/>
              <w:spacing w:line="400" w:lineRule="exact"/>
              <w:widowControl w:val="off"/>
              <w:rPr>
                <w:rFonts w:hint="eastAsia" w:ascii="宋体" w:hAnsi="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（2）投标人自2023年1月1日以来（以合同签订日期为准）承担过类似绿化养护服务项目业绩的，每提供一份合同得1分，最高得3分。</w:t>
            </w:r>
            <w:r>
              <w:rPr>
                <w:rFonts w:ascii="宋体" w:hAnsi="宋体" w:cs="宋体"/>
                <w:sz w:val="24"/>
                <w:szCs w:val="24"/>
              </w:rPr>
            </w:r>
            <w:r/>
          </w:p>
          <w:p>
            <w:pPr>
              <w:pStyle w:val="1080"/>
              <w:ind w:left="0" w:firstLine="480"/>
              <w:keepLines w:val="0"/>
              <w:keepNext w:val="0"/>
              <w:pageBreakBefore w:val="0"/>
              <w:spacing w:before="0" w:line="400" w:lineRule="exact"/>
              <w:widowControl w:val="off"/>
              <w:tabs>
                <w:tab w:val="left" w:pos="567"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（3）投标人自2023年1月1日以来（以合同签订日期为准）承担过类似大气应急服务业绩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即包含雾炮车作业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的，每提供一份合同得1分，最高得3分。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投标文件中提供每个业绩对应的合同扫描件及合同履行过程中任一阶段的发票截图或发票扫描件并加盖投标人公章，否则不得分。</w:t>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企业资质</w:t>
            </w:r>
            <w:r>
              <w:rPr>
                <w:rFonts w:hint="eastAsia" w:ascii="宋体" w:hAnsi="宋体" w:eastAsia="宋体" w:cs="宋体"/>
                <w:color w:val="000000"/>
                <w:sz w:val="24"/>
                <w:szCs w:val="24"/>
                <w:highlight w:val="none"/>
                <w:shd w:val="clear" w:color="auto" w:fill="auto"/>
                <w:lang w:val="en-US" w:eastAsia="zh-CN"/>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80"/>
              <w:numPr>
                <w:ilvl w:val="0"/>
                <w:numId w:val="0"/>
              </w:numPr>
              <w:ind w:firstLine="480"/>
              <w:keepLines w:val="0"/>
              <w:keepNext w:val="0"/>
              <w:pageBreakBefore w:val="0"/>
              <w:spacing w:before="0" w:line="400" w:lineRule="exact"/>
              <w:tabs>
                <w:tab w:val="left" w:pos="567"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具有有效期内的质量管理体系认证证书、环境管理体系认证证书、职业健康</w:t>
            </w:r>
            <w:r>
              <w:rPr>
                <w:rFonts w:hint="eastAsia" w:ascii="宋体" w:hAnsi="宋体" w:eastAsia="宋体" w:cs="宋体"/>
                <w:color w:val="000000"/>
                <w:sz w:val="24"/>
                <w:szCs w:val="24"/>
                <w:highlight w:val="none"/>
                <w:lang w:val="en-US" w:eastAsia="zh-CN"/>
              </w:rPr>
              <w:t xml:space="preserve">安全</w:t>
            </w:r>
            <w:r>
              <w:rPr>
                <w:rFonts w:hint="eastAsia" w:ascii="宋体" w:hAnsi="宋体" w:eastAsia="宋体" w:cs="宋体"/>
                <w:color w:val="000000"/>
                <w:sz w:val="24"/>
                <w:szCs w:val="24"/>
                <w:highlight w:val="none"/>
              </w:rPr>
              <w:t xml:space="preserve">管理体系认证证书，</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有一项得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投标文件中提供证书扫描件加盖投标人公章，否则不得分。</w:t>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荣誉</w:t>
            </w:r>
            <w:r>
              <w:rPr>
                <w:rFonts w:hint="eastAsia" w:ascii="宋体" w:hAnsi="宋体" w:eastAsia="宋体" w:cs="宋体"/>
                <w:color w:val="000000"/>
                <w:sz w:val="24"/>
                <w:szCs w:val="24"/>
                <w:highlight w:val="none"/>
                <w:lang w:val="en-US" w:eastAsia="zh-CN" w:bidi="ar-SA"/>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68"/>
              <w:ind w:left="0" w:firstLine="480"/>
              <w:keepLines w:val="0"/>
              <w:keepNext w:val="0"/>
              <w:pageBreakBefore w:val="0"/>
              <w:spacing w:line="400" w:lineRule="exact"/>
              <w:widowControl w:val="off"/>
              <w:rPr>
                <w:rFonts w:hint="eastAsia" w:ascii="宋体" w:hAnsi="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月1日</w:t>
            </w:r>
            <w:r>
              <w:rPr>
                <w:rFonts w:hint="eastAsia" w:ascii="宋体" w:hAnsi="宋体" w:eastAsia="宋体" w:cs="宋体"/>
                <w:color w:val="000000"/>
                <w:sz w:val="24"/>
                <w:szCs w:val="24"/>
                <w:highlight w:val="none"/>
                <w:lang w:val="en-US" w:eastAsia="zh-CN"/>
              </w:rPr>
              <w:t xml:space="preserve">以来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（含投标</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参加的项目）获得过党政机关/主管部门颁发的荣誉的，有一个得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left="0" w:firstLine="48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投标文件中提供证书或获奖证明材料扫描件加盖投标人公章，时间以证书或获奖证明材料上所载时间为准，否则不得分。</w:t>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拟派本项目管理人员</w:t>
            </w:r>
            <w:r>
              <w:rPr>
                <w:rFonts w:hint="eastAsia" w:ascii="宋体" w:hAnsi="宋体" w:eastAsia="宋体" w:cs="宋体"/>
                <w:color w:val="000000"/>
                <w:sz w:val="24"/>
                <w:szCs w:val="24"/>
                <w:highlight w:val="none"/>
                <w:lang w:val="en-US" w:eastAsia="zh-CN" w:bidi="ar-SA"/>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68"/>
              <w:ind w:left="0" w:firstLine="482"/>
              <w:keepLines w:val="0"/>
              <w:keepNext w:val="0"/>
              <w:pageBreakBefore w:val="0"/>
              <w:spacing w:line="400" w:lineRule="exact"/>
              <w:shd w:val="clear" w:color="auto" w:fill="auto"/>
              <w:widowControl/>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拟投入</w:t>
            </w:r>
            <w:r>
              <w:rPr>
                <w:rFonts w:hint="eastAsia" w:ascii="宋体" w:hAnsi="宋体" w:eastAsia="宋体" w:cs="宋体"/>
                <w:b/>
                <w:bCs/>
                <w:color w:val="000000"/>
                <w:sz w:val="24"/>
                <w:szCs w:val="24"/>
                <w:highlight w:val="none"/>
                <w:lang w:val="en-US" w:eastAsia="zh-CN"/>
              </w:rPr>
              <w:t xml:space="preserve">环卫作业负责人：</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（1）具有</w:t>
            </w:r>
            <w:r>
              <w:rPr>
                <w:rFonts w:hint="eastAsia" w:ascii="宋体" w:hAnsi="宋体" w:eastAsia="宋体" w:cs="宋体"/>
                <w:color w:val="000000"/>
                <w:sz w:val="24"/>
                <w:szCs w:val="24"/>
                <w:highlight w:val="none"/>
              </w:rPr>
              <w:t xml:space="preserve">环境专业全日制本科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（2）具有环卫作业业绩，</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ascii="宋体" w:hAnsi="宋体" w:cs="宋体"/>
                <w:sz w:val="24"/>
                <w:szCs w:val="24"/>
              </w:rPr>
            </w:r>
            <w:r/>
          </w:p>
          <w:p>
            <w:pPr>
              <w:pStyle w:val="1068"/>
              <w:ind w:firstLine="482"/>
              <w:keepLines w:val="0"/>
              <w:keepNext w:val="0"/>
              <w:pageBreakBefore w:val="0"/>
              <w:spacing w:line="400" w:lineRule="exac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2.拟投入绿化养护项目负责人：</w:t>
            </w:r>
            <w:r>
              <w:rPr>
                <w:rFonts w:ascii="宋体" w:hAnsi="宋体" w:cs="宋体"/>
                <w:sz w:val="24"/>
                <w:szCs w:val="24"/>
              </w:rPr>
            </w:r>
            <w:r/>
          </w:p>
          <w:p>
            <w:pPr>
              <w:pStyle w:val="1068"/>
              <w:ind w:firstLine="480"/>
              <w:keepLines w:val="0"/>
              <w:keepNext w:val="0"/>
              <w:pageBreakBefore w:val="0"/>
              <w:spacing w:line="40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（1）具有园林专业高级职称</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中级职称</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最高得1分。</w:t>
            </w:r>
            <w:r>
              <w:rPr>
                <w:rFonts w:ascii="宋体" w:hAnsi="宋体" w:cs="宋体"/>
                <w:sz w:val="24"/>
                <w:szCs w:val="24"/>
              </w:rPr>
            </w:r>
            <w:r/>
          </w:p>
          <w:p>
            <w:pPr>
              <w:pStyle w:val="1068"/>
              <w:ind w:left="0" w:firstLine="480"/>
              <w:keepLines w:val="0"/>
              <w:keepNext w:val="0"/>
              <w:pageBreakBefore w:val="0"/>
              <w:spacing w:line="400" w:lineRule="exact"/>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（2）具有绿化养护业绩，得1分。</w:t>
            </w:r>
            <w:r>
              <w:rPr>
                <w:rFonts w:ascii="宋体" w:hAnsi="宋体" w:cs="宋体"/>
                <w:sz w:val="24"/>
                <w:szCs w:val="24"/>
              </w:rPr>
            </w:r>
            <w:r/>
          </w:p>
          <w:p>
            <w:pPr>
              <w:pStyle w:val="1068"/>
              <w:ind w:firstLine="480"/>
              <w:keepLines w:val="0"/>
              <w:keepNext w:val="0"/>
              <w:pageBreakBefore w:val="0"/>
              <w:spacing w:line="400" w:lineRule="exact"/>
              <w:rPr>
                <w:rFonts w:hint="eastAsia" w:ascii="宋体" w:hAnsi="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拟投入</w:t>
            </w:r>
            <w:r>
              <w:rPr>
                <w:rFonts w:hint="eastAsia" w:ascii="宋体" w:hAnsi="宋体" w:eastAsia="宋体" w:cs="宋体"/>
                <w:b/>
                <w:bCs/>
                <w:color w:val="000000"/>
                <w:sz w:val="24"/>
                <w:szCs w:val="24"/>
                <w:highlight w:val="none"/>
              </w:rPr>
              <w:t xml:space="preserve">安全督查监管人员</w:t>
            </w:r>
            <w:r>
              <w:rPr>
                <w:rFonts w:hint="eastAsia" w:ascii="宋体" w:hAnsi="宋体" w:eastAsia="宋体" w:cs="宋体"/>
                <w:b/>
                <w:bCs/>
                <w:color w:val="000000"/>
                <w:sz w:val="24"/>
                <w:szCs w:val="24"/>
                <w:highlight w:val="none"/>
                <w:lang w:val="en-US" w:eastAsia="zh-CN"/>
              </w:rPr>
              <w:t xml:space="preserve">：</w:t>
            </w:r>
            <w:r>
              <w:rPr>
                <w:rFonts w:ascii="宋体" w:hAnsi="宋体" w:cs="宋体"/>
                <w:sz w:val="24"/>
                <w:szCs w:val="24"/>
              </w:rPr>
            </w:r>
            <w:r/>
          </w:p>
          <w:p>
            <w:pPr>
              <w:pStyle w:val="1068"/>
              <w:ind w:firstLine="480"/>
              <w:keepLines w:val="0"/>
              <w:keepNext w:val="0"/>
              <w:pageBreakBefore w:val="0"/>
              <w:spacing w:line="40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（1）为本项目配备专职安全管理人员具备注册安全工程师证书的，每有一人得2分，最高得2分。</w:t>
            </w:r>
            <w:r>
              <w:rPr>
                <w:rFonts w:ascii="宋体" w:hAnsi="宋体" w:cs="宋体"/>
                <w:sz w:val="24"/>
                <w:szCs w:val="24"/>
              </w:rPr>
            </w:r>
            <w:r/>
          </w:p>
          <w:p>
            <w:pPr>
              <w:pStyle w:val="1068"/>
              <w:ind w:firstLine="480"/>
              <w:keepLines w:val="0"/>
              <w:keepNext w:val="0"/>
              <w:pageBreakBefore w:val="0"/>
              <w:spacing w:line="40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（2）为本项目配备专职安全管理人员具备安全员C证的，每有一人得1分，最高得1分。</w:t>
            </w:r>
            <w:r>
              <w:rPr>
                <w:rFonts w:ascii="宋体" w:hAnsi="宋体" w:cs="宋体"/>
                <w:sz w:val="24"/>
                <w:szCs w:val="24"/>
              </w:rPr>
            </w:r>
            <w:r/>
          </w:p>
        </w:tc>
        <w:tc>
          <w:tcPr>
            <w:tcW w:w="2258" w:type="dxa"/>
            <w:vAlign w:val="center"/>
            <w:textDirection w:val="lrTb"/>
            <w:noWrap w:val="false"/>
          </w:tcPr>
          <w:p>
            <w:pPr>
              <w:pStyle w:val="1068"/>
              <w:numPr>
                <w:ilvl w:val="0"/>
                <w:numId w:val="0"/>
              </w:numPr>
              <w:ind w:left="0"/>
              <w:keepLines w:val="0"/>
              <w:keepNext w:val="0"/>
              <w:pageBreakBefore w:val="0"/>
              <w:spacing w:line="400" w:lineRule="exact"/>
              <w:widowControl w:val="off"/>
              <w:rPr>
                <w:rFonts w:hint="eastAsia" w:ascii="宋体" w:hAnsi="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（1）投标文件中提供毕业证书扫描件（</w:t>
            </w:r>
            <w:r>
              <w:rPr>
                <w:rFonts w:hint="eastAsia" w:ascii="宋体" w:hAnsi="宋体" w:eastAsia="宋体" w:cs="宋体"/>
                <w:b/>
                <w:bCs/>
                <w:color w:val="000000"/>
                <w:sz w:val="24"/>
                <w:szCs w:val="24"/>
                <w:highlight w:val="none"/>
              </w:rPr>
              <w:t xml:space="preserve">环境</w:t>
            </w:r>
            <w:r>
              <w:rPr>
                <w:rFonts w:hint="eastAsia" w:ascii="宋体" w:hAnsi="宋体" w:eastAsia="宋体" w:cs="宋体"/>
                <w:b/>
                <w:bCs/>
                <w:color w:val="000000"/>
                <w:sz w:val="24"/>
                <w:szCs w:val="24"/>
                <w:highlight w:val="none"/>
                <w:lang w:val="en-US" w:eastAsia="zh-CN"/>
              </w:rPr>
              <w:t xml:space="preserve">专业及相关专业：园林（含园林规划设计、园林植物、风景园林、园林绿化）、园艺、城市规划、景观、植物（含植保、森保）、风景旅游、环境艺术）加盖投标人公章，否则不得分。</w:t>
            </w:r>
            <w:r>
              <w:rPr>
                <w:rFonts w:ascii="宋体" w:hAnsi="宋体" w:cs="宋体"/>
                <w:sz w:val="24"/>
                <w:szCs w:val="24"/>
              </w:rPr>
            </w:r>
            <w:r/>
          </w:p>
          <w:p>
            <w:pPr>
              <w:pStyle w:val="1080"/>
              <w:ind w:left="0" w:firstLine="0"/>
              <w:keepLines w:val="0"/>
              <w:keepNext w:val="0"/>
              <w:pageBreakBefore w:val="0"/>
              <w:spacing w:before="0" w:line="400" w:lineRule="exact"/>
              <w:widowControl w:val="off"/>
              <w:tabs>
                <w:tab w:val="left" w:pos="567"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（2）投标文件中提供每个业绩对应的合同扫描件及合同履行过程中任一阶段的发票截图或发票扫描件加盖投标人公章，否则不得分。</w:t>
            </w:r>
            <w:r>
              <w:rPr>
                <w:rFonts w:ascii="宋体" w:hAnsi="宋体" w:cs="宋体"/>
                <w:sz w:val="24"/>
                <w:szCs w:val="24"/>
              </w:rPr>
            </w:r>
            <w:r/>
          </w:p>
          <w:p>
            <w:pPr>
              <w:pStyle w:val="1080"/>
              <w:ind w:left="0" w:firstLine="0"/>
              <w:keepLines w:val="0"/>
              <w:keepNext w:val="0"/>
              <w:pageBreakBefore w:val="0"/>
              <w:spacing w:before="0" w:line="400" w:lineRule="exact"/>
              <w:widowControl w:val="off"/>
              <w:tabs>
                <w:tab w:val="left" w:pos="567" w:leader="none"/>
              </w:tabs>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（3）投标文件中提供相应执业职称证书扫描件加盖投标人公章，否则不得分。</w:t>
            </w:r>
            <w:r>
              <w:rPr>
                <w:rFonts w:ascii="宋体" w:hAnsi="宋体" w:cs="宋体"/>
                <w:sz w:val="24"/>
                <w:szCs w:val="24"/>
              </w:rPr>
            </w:r>
            <w:r/>
          </w:p>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（4）投标文件中提供</w:t>
            </w:r>
            <w:r>
              <w:rPr>
                <w:rFonts w:hint="eastAsia" w:ascii="宋体" w:hAnsi="宋体" w:eastAsia="宋体" w:cs="宋体"/>
                <w:b/>
                <w:bCs/>
                <w:color w:val="000000"/>
                <w:sz w:val="24"/>
                <w:szCs w:val="24"/>
                <w:highlight w:val="none"/>
              </w:rPr>
              <w:t xml:space="preserve">投标人近三个月内任意一个月（自开标之日往前推）为其缴纳社保的记录</w:t>
            </w:r>
            <w:r>
              <w:rPr>
                <w:rFonts w:hint="eastAsia" w:ascii="宋体" w:hAnsi="宋体" w:eastAsia="宋体" w:cs="宋体"/>
                <w:b/>
                <w:bCs/>
                <w:color w:val="000000"/>
                <w:sz w:val="24"/>
                <w:szCs w:val="24"/>
                <w:highlight w:val="none"/>
                <w:lang w:val="en-US" w:eastAsia="zh-CN"/>
              </w:rPr>
              <w:t xml:space="preserve">加盖投标人公章。</w:t>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拟派本项目</w:t>
            </w:r>
            <w:r>
              <w:rPr>
                <w:rFonts w:hint="eastAsia" w:ascii="宋体" w:hAnsi="宋体" w:eastAsia="宋体" w:cs="宋体"/>
                <w:color w:val="000000"/>
                <w:sz w:val="24"/>
                <w:szCs w:val="24"/>
                <w:highlight w:val="none"/>
                <w:lang w:val="en-US" w:eastAsia="zh-CN"/>
              </w:rPr>
              <w:t xml:space="preserve">绿化作业人员</w:t>
            </w:r>
            <w:r>
              <w:rPr>
                <w:rFonts w:hint="eastAsia" w:ascii="宋体" w:hAnsi="宋体" w:eastAsia="宋体" w:cs="宋体"/>
                <w:color w:val="000000"/>
                <w:sz w:val="24"/>
                <w:szCs w:val="24"/>
                <w:highlight w:val="none"/>
                <w:lang w:val="en-US" w:eastAsia="zh-CN" w:bidi="ar-SA"/>
              </w:rPr>
            </w:r>
            <w:r/>
          </w:p>
        </w:tc>
        <w:tc>
          <w:tcPr>
            <w:tcW w:w="659"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12</w:t>
            </w:r>
            <w:r>
              <w:rPr>
                <w:rFonts w:hint="eastAsia" w:ascii="宋体" w:hAnsi="宋体" w:eastAsia="宋体" w:cs="宋体"/>
                <w:color w:val="000000"/>
                <w:sz w:val="24"/>
                <w:szCs w:val="24"/>
                <w:highlight w:val="none"/>
                <w:shd w:val="clear" w:color="auto" w:fill="auto"/>
                <w:lang w:val="en-US" w:eastAsia="zh-CN" w:bidi="ar-SA"/>
              </w:rPr>
            </w:r>
            <w:r/>
          </w:p>
        </w:tc>
        <w:tc>
          <w:tcPr>
            <w:tcW w:w="3969" w:type="dxa"/>
            <w:vAlign w:val="center"/>
            <w:textDirection w:val="lrTb"/>
            <w:noWrap w:val="false"/>
          </w:tcPr>
          <w:p>
            <w:pPr>
              <w:pStyle w:val="1068"/>
              <w:numPr>
                <w:ilvl w:val="0"/>
                <w:numId w:val="0"/>
              </w:numPr>
              <w:ind w:left="0" w:firstLine="482"/>
              <w:keepLines w:val="0"/>
              <w:keepNext w:val="0"/>
              <w:pageBreakBefore w:val="0"/>
              <w:spacing w:line="400" w:lineRule="exact"/>
              <w:shd w:val="clear" w:color="auto" w:fill="auto"/>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除绿化养护项目负责人外：</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（1）具有中级绿化工证书，每有一人得1分；具有高级绿化工证书，每有一人得2分；最高得4分。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（2）具有花卉园艺师中级工证书，每有一人得1分；具有花卉园艺师高级工证书，每有一人得2分；最高得2分。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（3）具有林木种苗中级工证书，每有一人得1分；具有林木种苗高级工证书，每有一人得2分；最高得2分。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（4）具有应急管理部门颁发有效的作业类别含高处作业的证件，每有一人得2分；最高得4分。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本项最高12分。</w:t>
            </w:r>
            <w:r>
              <w:rPr>
                <w:rFonts w:ascii="宋体" w:hAnsi="宋体" w:cs="宋体"/>
                <w:sz w:val="24"/>
                <w:szCs w:val="24"/>
              </w:rPr>
            </w:r>
            <w:r/>
          </w:p>
        </w:tc>
        <w:tc>
          <w:tcPr>
            <w:tcW w:w="225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（1）提供相应证书扫描件加盖投标人公章。</w:t>
            </w:r>
            <w:r>
              <w:rPr>
                <w:rFonts w:ascii="宋体" w:hAnsi="宋体" w:cs="宋体"/>
                <w:sz w:val="24"/>
                <w:szCs w:val="24"/>
              </w:rPr>
            </w:r>
            <w:r/>
          </w:p>
          <w:p>
            <w:pPr>
              <w:pStyle w:val="1068"/>
              <w:ind w:left="0"/>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（2）高</w:t>
            </w:r>
            <w:r>
              <w:rPr>
                <w:rFonts w:hint="eastAsia" w:ascii="宋体" w:hAnsi="宋体" w:eastAsia="宋体" w:cs="宋体"/>
                <w:b/>
                <w:bCs/>
                <w:color w:val="000000"/>
                <w:sz w:val="24"/>
                <w:szCs w:val="24"/>
                <w:highlight w:val="none"/>
              </w:rPr>
              <w:t xml:space="preserve">绿化工、</w:t>
            </w:r>
            <w:r>
              <w:rPr>
                <w:rFonts w:hint="eastAsia" w:ascii="宋体" w:hAnsi="宋体" w:eastAsia="宋体" w:cs="宋体"/>
                <w:b/>
                <w:bCs/>
                <w:color w:val="000000"/>
                <w:sz w:val="24"/>
                <w:szCs w:val="24"/>
                <w:highlight w:val="none"/>
                <w:lang w:val="en-US" w:eastAsia="zh-CN"/>
              </w:rPr>
              <w:t xml:space="preserve">高级</w:t>
            </w:r>
            <w:r>
              <w:rPr>
                <w:rFonts w:hint="eastAsia" w:ascii="宋体" w:hAnsi="宋体" w:eastAsia="宋体" w:cs="宋体"/>
                <w:b/>
                <w:bCs/>
                <w:color w:val="000000"/>
                <w:sz w:val="24"/>
                <w:szCs w:val="24"/>
                <w:highlight w:val="none"/>
              </w:rPr>
              <w:t xml:space="preserve">花卉工人员证书必须为人社或住建部门认可的技能证书（附人社或住建部门网站的查询截图）。</w:t>
            </w:r>
            <w:r>
              <w:rPr>
                <w:rFonts w:ascii="宋体" w:hAnsi="宋体" w:cs="宋体"/>
                <w:sz w:val="24"/>
                <w:szCs w:val="24"/>
              </w:rPr>
            </w:r>
            <w:r/>
          </w:p>
          <w:p>
            <w:pPr>
              <w:pStyle w:val="1068"/>
              <w:ind w:left="0"/>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登高作业证后附应急管理部网站查询截图。</w:t>
            </w:r>
            <w:r>
              <w:rPr>
                <w:rFonts w:ascii="宋体" w:hAnsi="宋体" w:cs="宋体"/>
                <w:sz w:val="24"/>
                <w:szCs w:val="24"/>
              </w:rPr>
            </w:r>
            <w:r/>
          </w:p>
          <w:p>
            <w:pPr>
              <w:pStyle w:val="1080"/>
              <w:keepLines w:val="0"/>
              <w:keepNext w:val="0"/>
              <w:pageBreakBefore w:val="0"/>
              <w:spacing w:before="0" w:line="400" w:lineRule="exact"/>
              <w:tabs>
                <w:tab w:val="left" w:pos="567" w:leader="none"/>
              </w:tabs>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同一人证书按最高资质等级计分，不重复得分。</w:t>
            </w:r>
            <w:r>
              <w:rPr>
                <w:rFonts w:ascii="宋体" w:hAnsi="宋体" w:cs="宋体"/>
                <w:sz w:val="24"/>
                <w:szCs w:val="24"/>
              </w:rPr>
            </w:r>
            <w:r/>
          </w:p>
        </w:tc>
      </w:tr>
      <w:tr>
        <w:trPr/>
        <w:tc>
          <w:tcPr>
            <w:tcW w:w="78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en-US" w:eastAsia="zh-CN"/>
              </w:rPr>
            </w:r>
            <w:r/>
          </w:p>
        </w:tc>
        <w:tc>
          <w:tcPr>
            <w:tcW w:w="1608"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拟配备机械</w:t>
            </w:r>
            <w:r>
              <w:rPr>
                <w:rFonts w:hint="eastAsia" w:ascii="宋体" w:hAnsi="宋体" w:eastAsia="宋体" w:cs="宋体"/>
                <w:color w:val="000000"/>
                <w:sz w:val="24"/>
                <w:szCs w:val="24"/>
                <w:highlight w:val="none"/>
                <w:lang w:val="en-US" w:eastAsia="zh-CN" w:bidi="ar-SA"/>
              </w:rPr>
            </w:r>
            <w:r/>
          </w:p>
        </w:tc>
        <w:tc>
          <w:tcPr>
            <w:tcW w:w="659"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21</w:t>
            </w:r>
            <w:r>
              <w:rPr>
                <w:rFonts w:hint="eastAsia" w:ascii="宋体" w:hAnsi="宋体" w:eastAsia="宋体" w:cs="宋体"/>
                <w:color w:val="000000"/>
                <w:sz w:val="24"/>
                <w:szCs w:val="24"/>
                <w:highlight w:val="none"/>
              </w:rPr>
            </w:r>
            <w:r/>
          </w:p>
        </w:tc>
        <w:tc>
          <w:tcPr>
            <w:tcW w:w="3969"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投标供应商在满足招标文件中采购需求基本数量与基本配置要求的基础上：</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（1）洒水车(行驶证核定载质量≥10吨)，在满足采购需求的基础上每增加一辆得1分，最高得2分。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pacing w:val="2"/>
                <w:sz w:val="24"/>
                <w:szCs w:val="24"/>
                <w:highlight w:val="none"/>
                <w:lang w:val="en-US" w:eastAsia="zh-CN"/>
              </w:rPr>
              <w:t xml:space="preserve">洗扫</w:t>
            </w:r>
            <w:r>
              <w:rPr>
                <w:rFonts w:hint="eastAsia" w:ascii="宋体" w:hAnsi="宋体" w:eastAsia="宋体" w:cs="宋体"/>
                <w:color w:val="000000"/>
                <w:spacing w:val="2"/>
                <w:sz w:val="24"/>
                <w:szCs w:val="24"/>
                <w:highlight w:val="none"/>
              </w:rPr>
              <w:t xml:space="preserve">车</w:t>
            </w:r>
            <w:r>
              <w:rPr>
                <w:rFonts w:hint="eastAsia" w:ascii="宋体" w:hAnsi="宋体" w:eastAsia="宋体" w:cs="宋体"/>
                <w:color w:val="000000"/>
                <w:sz w:val="24"/>
                <w:szCs w:val="24"/>
                <w:highlight w:val="none"/>
                <w:lang w:val="en-US" w:eastAsia="zh-CN"/>
              </w:rPr>
              <w:t xml:space="preserve">(行驶证核定载质量≥6吨)，在满足采购需求的基础上每增加一辆得1分，最高得2分。</w:t>
            </w:r>
            <w:r>
              <w:rPr>
                <w:rFonts w:ascii="宋体" w:hAnsi="宋体" w:cs="宋体"/>
                <w:sz w:val="24"/>
                <w:szCs w:val="24"/>
              </w:rPr>
            </w:r>
            <w:r/>
          </w:p>
          <w:p>
            <w:pPr>
              <w:pStyle w:val="1068"/>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（3）新能源环卫重型机械化作业车辆(行驶证核定载质量≥8吨)，每有一辆得1分，最高得2分。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（4）运输车辆(行驶证核定载质量≥13吨)，每有一辆得1分，最高得2分。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（5）吸污车(行驶证核定载质量≥9吨)，每有一辆得1分，最高得2分。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（6）雾炮车(行驶证核定载质量≥8吨)，每有一辆得1分，最高得2分。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（7）电动护栏内侧洗扫车，每有一辆得1分，最高得2分。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（8）载融雪撒盐机(容量≥10m³)，每有一台得1分，最高得1分。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（9）除雪铲(除雪宽度≥3.5m)，每有一个得1分，最高得1分。</w:t>
            </w:r>
            <w:r>
              <w:rPr>
                <w:rFonts w:ascii="宋体" w:hAnsi="宋体" w:cs="宋体"/>
                <w:sz w:val="24"/>
                <w:szCs w:val="24"/>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（10）除雪滚刷(滚刷作业宽度≥3500mm)，每有一个得1分，最高得1分。</w:t>
            </w:r>
            <w:r>
              <w:rPr>
                <w:rFonts w:ascii="宋体" w:hAnsi="宋体" w:cs="宋体"/>
                <w:sz w:val="24"/>
                <w:szCs w:val="24"/>
              </w:rPr>
            </w:r>
            <w:r/>
          </w:p>
          <w:p>
            <w:pPr>
              <w:pStyle w:val="1080"/>
              <w:ind w:left="0" w:firstLine="480"/>
              <w:keepLines w:val="0"/>
              <w:keepNext w:val="0"/>
              <w:pageBreakBefore w:val="0"/>
              <w:spacing w:before="0" w:line="400" w:lineRule="exact"/>
              <w:widowControl w:val="off"/>
              <w:tabs>
                <w:tab w:val="left" w:pos="567"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大型树枝粉碎机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长</w:t>
            </w:r>
            <w:r>
              <w:rPr>
                <w:rFonts w:hint="eastAsia" w:ascii="宋体" w:hAnsi="宋体" w:eastAsia="宋体" w:cs="宋体"/>
                <w:color w:val="000000"/>
                <w:sz w:val="24"/>
                <w:szCs w:val="24"/>
                <w:highlight w:val="none"/>
                <w:lang w:val="en-US" w:eastAsia="zh-CN"/>
              </w:rPr>
              <w:t xml:space="preserve">≥120000mm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，每有一台得1分，最高得1分。</w:t>
            </w:r>
            <w:r>
              <w:rPr>
                <w:rFonts w:ascii="宋体" w:hAnsi="宋体" w:cs="宋体"/>
                <w:sz w:val="24"/>
                <w:szCs w:val="24"/>
              </w:rPr>
            </w:r>
            <w:r/>
          </w:p>
          <w:p>
            <w:pPr>
              <w:pStyle w:val="1068"/>
              <w:ind w:left="0" w:firstLine="48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（12）碎枝机，每有一台得1分，最高得2分。</w:t>
            </w:r>
            <w:r>
              <w:rPr>
                <w:rFonts w:ascii="宋体" w:hAnsi="宋体" w:cs="宋体"/>
                <w:sz w:val="24"/>
                <w:szCs w:val="24"/>
              </w:rPr>
            </w:r>
            <w:r/>
          </w:p>
          <w:p>
            <w:pPr>
              <w:pStyle w:val="1080"/>
              <w:ind w:left="0" w:firstLine="480"/>
              <w:keepLines w:val="0"/>
              <w:keepNext w:val="0"/>
              <w:pageBreakBefore w:val="0"/>
              <w:spacing w:before="0" w:line="400" w:lineRule="exact"/>
              <w:widowControl w:val="off"/>
              <w:tabs>
                <w:tab w:val="left" w:pos="567"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打包机（包装系统能力:</w:t>
            </w:r>
            <w:r>
              <w:rPr>
                <w:rFonts w:hint="eastAsia" w:ascii="宋体" w:hAnsi="宋体" w:eastAsia="宋体" w:cs="宋体"/>
                <w:color w:val="000000"/>
                <w:sz w:val="24"/>
                <w:szCs w:val="24"/>
                <w:highlight w:val="none"/>
                <w:lang w:val="en-US" w:eastAsia="zh-CN"/>
              </w:rPr>
              <w:t xml:space="preserve">自动打包，</w:t>
            </w:r>
            <w:r>
              <w:rPr>
                <w:rFonts w:hint="eastAsia" w:ascii="宋体" w:hAnsi="宋体" w:eastAsia="宋体" w:cs="宋体"/>
                <w:color w:val="000000"/>
                <w:sz w:val="24"/>
                <w:szCs w:val="24"/>
                <w:highlight w:val="none"/>
              </w:rPr>
              <w:t xml:space="preserve">包装范</w:t>
            </w:r>
            <w:r>
              <w:rPr>
                <w:rFonts w:hint="eastAsia" w:ascii="宋体" w:hAnsi="宋体" w:eastAsia="宋体" w:cs="宋体"/>
                <w:color w:val="000000"/>
                <w:sz w:val="24"/>
                <w:szCs w:val="24"/>
                <w:highlight w:val="none"/>
                <w:lang w:val="en-US" w:eastAsia="zh-CN"/>
              </w:rPr>
              <w:t xml:space="preserve">围≥25</w:t>
            </w:r>
            <w:r>
              <w:rPr>
                <w:rFonts w:hint="eastAsia" w:ascii="宋体" w:hAnsi="宋体" w:eastAsia="宋体" w:cs="宋体"/>
                <w:color w:val="000000"/>
                <w:sz w:val="24"/>
                <w:szCs w:val="24"/>
                <w:highlight w:val="none"/>
              </w:rPr>
              <w:t xml:space="preserve">kg）</w:t>
            </w:r>
            <w:r>
              <w:rPr>
                <w:rFonts w:hint="eastAsia" w:ascii="宋体" w:hAnsi="宋体" w:eastAsia="宋体" w:cs="宋体"/>
                <w:color w:val="000000"/>
                <w:sz w:val="24"/>
                <w:szCs w:val="24"/>
                <w:highlight w:val="none"/>
                <w:lang w:val="en-US" w:eastAsia="zh-CN"/>
              </w:rPr>
              <w:t xml:space="preserve">，每有一台得1分，最高得1分。</w:t>
            </w:r>
            <w:r>
              <w:rPr>
                <w:rFonts w:ascii="宋体" w:hAnsi="宋体" w:cs="宋体"/>
                <w:sz w:val="24"/>
                <w:szCs w:val="24"/>
              </w:rPr>
            </w:r>
            <w:r/>
          </w:p>
        </w:tc>
        <w:tc>
          <w:tcPr>
            <w:tcW w:w="2258" w:type="dxa"/>
            <w:vAlign w:val="center"/>
            <w:textDirection w:val="lrTb"/>
            <w:noWrap w:val="false"/>
          </w:tcPr>
          <w:p>
            <w:pPr>
              <w:pStyle w:val="1068"/>
              <w:numPr>
                <w:ilvl w:val="0"/>
                <w:numId w:val="0"/>
              </w:numPr>
              <w:ind w:left="0" w:right="0"/>
              <w:jc w:val="both"/>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提供以下证明材料加盖投标人公章，否则不得分。</w:t>
            </w:r>
            <w:r>
              <w:rPr>
                <w:rFonts w:ascii="宋体" w:hAnsi="宋体" w:cs="宋体"/>
                <w:sz w:val="24"/>
                <w:szCs w:val="24"/>
              </w:rPr>
            </w:r>
            <w:r/>
          </w:p>
          <w:p>
            <w:pPr>
              <w:pStyle w:val="1068"/>
              <w:numPr>
                <w:ilvl w:val="0"/>
                <w:numId w:val="0"/>
              </w:numPr>
              <w:ind w:left="0" w:right="0"/>
              <w:jc w:val="both"/>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（1）涉及车辆的：</w:t>
            </w:r>
            <w:r>
              <w:rPr>
                <w:rFonts w:ascii="宋体" w:hAnsi="宋体" w:cs="宋体"/>
                <w:sz w:val="24"/>
                <w:szCs w:val="24"/>
              </w:rPr>
            </w:r>
            <w:r/>
          </w:p>
          <w:p>
            <w:pPr>
              <w:pStyle w:val="1068"/>
              <w:numPr>
                <w:ilvl w:val="0"/>
                <w:numId w:val="0"/>
              </w:numPr>
              <w:ind w:left="0" w:right="0"/>
              <w:jc w:val="both"/>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zh-CN" w:eastAsia="zh-CN"/>
              </w:rPr>
              <w:t xml:space="preserve">若为自有车辆：</w:t>
            </w:r>
            <w:r>
              <w:rPr>
                <w:rFonts w:ascii="宋体" w:hAnsi="宋体" w:cs="宋体"/>
                <w:sz w:val="24"/>
                <w:szCs w:val="24"/>
              </w:rPr>
            </w:r>
            <w:r/>
          </w:p>
          <w:p>
            <w:pPr>
              <w:pStyle w:val="1068"/>
              <w:numPr>
                <w:ilvl w:val="0"/>
                <w:numId w:val="0"/>
              </w:numPr>
              <w:ind w:left="0" w:right="0"/>
              <w:jc w:val="both"/>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zh-CN" w:eastAsia="zh-CN"/>
              </w:rPr>
              <w:t xml:space="preserve">须提供①在年审有效期内的《机动车行驶证》；②有效期内的《机动车登记证》；③</w:t>
            </w:r>
            <w:r>
              <w:rPr>
                <w:rFonts w:hint="eastAsia" w:ascii="宋体" w:hAnsi="宋体" w:eastAsia="宋体" w:cs="宋体"/>
                <w:b/>
                <w:bCs/>
                <w:color w:val="000000"/>
                <w:sz w:val="24"/>
                <w:szCs w:val="24"/>
                <w:highlight w:val="none"/>
                <w:lang w:val="en-US" w:eastAsia="zh-CN"/>
              </w:rPr>
              <w:t xml:space="preserve">车辆购置</w:t>
            </w:r>
            <w:r>
              <w:rPr>
                <w:rFonts w:hint="eastAsia" w:ascii="宋体" w:hAnsi="宋体" w:eastAsia="宋体" w:cs="宋体"/>
                <w:b/>
                <w:bCs/>
                <w:color w:val="000000"/>
                <w:sz w:val="24"/>
                <w:szCs w:val="24"/>
                <w:highlight w:val="none"/>
                <w:lang w:val="zh-CN" w:eastAsia="zh-CN"/>
              </w:rPr>
              <w:t xml:space="preserve">发票；④</w:t>
            </w:r>
            <w:r>
              <w:rPr>
                <w:rFonts w:hint="eastAsia" w:ascii="宋体" w:hAnsi="宋体" w:eastAsia="宋体" w:cs="宋体"/>
                <w:b/>
                <w:bCs/>
                <w:color w:val="000000"/>
                <w:sz w:val="24"/>
                <w:szCs w:val="24"/>
                <w:highlight w:val="none"/>
                <w:lang w:val="en-US" w:eastAsia="zh-CN"/>
              </w:rPr>
              <w:t xml:space="preserve">照片，四项缺一不可，否则不得分。</w:t>
            </w:r>
            <w:r>
              <w:rPr>
                <w:rFonts w:ascii="宋体" w:hAnsi="宋体" w:cs="宋体"/>
                <w:sz w:val="24"/>
                <w:szCs w:val="24"/>
              </w:rPr>
            </w:r>
            <w:r/>
          </w:p>
          <w:p>
            <w:pPr>
              <w:pStyle w:val="1068"/>
              <w:numPr>
                <w:ilvl w:val="0"/>
                <w:numId w:val="0"/>
              </w:numPr>
              <w:ind w:left="0" w:right="0"/>
              <w:jc w:val="both"/>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zh-CN" w:eastAsia="zh-CN"/>
              </w:rPr>
              <w:t xml:space="preserve">若为租赁车辆：</w:t>
            </w:r>
            <w:r>
              <w:rPr>
                <w:rFonts w:ascii="宋体" w:hAnsi="宋体" w:cs="宋体"/>
                <w:sz w:val="24"/>
                <w:szCs w:val="24"/>
              </w:rPr>
            </w:r>
            <w:r/>
          </w:p>
          <w:p>
            <w:pPr>
              <w:pStyle w:val="1068"/>
              <w:numPr>
                <w:ilvl w:val="0"/>
                <w:numId w:val="0"/>
              </w:numPr>
              <w:ind w:left="0" w:right="0"/>
              <w:jc w:val="both"/>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zh-CN" w:eastAsia="zh-CN"/>
              </w:rPr>
              <w:t xml:space="preserve">须提供①在年审有效期内的《机动车行驶证》；②有效期内的《机动车登记证》；③车辆租赁合同（</w:t>
            </w:r>
            <w:r>
              <w:rPr>
                <w:rFonts w:hint="eastAsia" w:ascii="宋体" w:hAnsi="宋体" w:eastAsia="宋体" w:cs="宋体"/>
                <w:b/>
                <w:bCs/>
                <w:color w:val="000000"/>
                <w:sz w:val="24"/>
                <w:szCs w:val="24"/>
                <w:highlight w:val="none"/>
                <w:lang w:val="en-US" w:eastAsia="zh-CN"/>
              </w:rPr>
              <w:t xml:space="preserve">租赁协议</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和招标公告发布之日前租赁发票</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zh-CN" w:eastAsia="zh-CN"/>
              </w:rPr>
              <w:t xml:space="preserve">项缺一不可</w:t>
            </w:r>
            <w:r>
              <w:rPr>
                <w:rFonts w:hint="eastAsia" w:ascii="宋体" w:hAnsi="宋体" w:eastAsia="宋体" w:cs="宋体"/>
                <w:b/>
                <w:bCs/>
                <w:color w:val="000000"/>
                <w:sz w:val="24"/>
                <w:szCs w:val="24"/>
                <w:highlight w:val="none"/>
                <w:lang w:val="en-US" w:eastAsia="zh-CN"/>
              </w:rPr>
              <w:t xml:space="preserve">，否则不得分</w:t>
            </w:r>
            <w:r>
              <w:rPr>
                <w:rFonts w:hint="eastAsia" w:ascii="宋体" w:hAnsi="宋体" w:eastAsia="宋体" w:cs="宋体"/>
                <w:b/>
                <w:bCs/>
                <w:color w:val="000000"/>
                <w:sz w:val="24"/>
                <w:szCs w:val="24"/>
                <w:highlight w:val="none"/>
                <w:lang w:val="zh-CN" w:eastAsia="zh-CN"/>
              </w:rPr>
              <w:t xml:space="preserve">。</w:t>
            </w:r>
            <w:r>
              <w:rPr>
                <w:rFonts w:ascii="宋体" w:hAnsi="宋体" w:cs="宋体"/>
                <w:sz w:val="24"/>
                <w:szCs w:val="24"/>
              </w:rPr>
            </w:r>
            <w:r/>
          </w:p>
          <w:p>
            <w:pPr>
              <w:pStyle w:val="1068"/>
              <w:numPr>
                <w:ilvl w:val="0"/>
                <w:numId w:val="0"/>
              </w:numPr>
              <w:ind w:left="0" w:right="0"/>
              <w:jc w:val="both"/>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eastAsia="zh-CN"/>
              </w:rPr>
              <w:t xml:space="preserve">）涉及设备的：</w:t>
            </w:r>
            <w:r>
              <w:rPr>
                <w:rFonts w:ascii="宋体" w:hAnsi="宋体" w:cs="宋体"/>
                <w:sz w:val="24"/>
                <w:szCs w:val="24"/>
              </w:rPr>
            </w:r>
            <w:r/>
          </w:p>
          <w:p>
            <w:pPr>
              <w:pStyle w:val="1068"/>
              <w:numPr>
                <w:ilvl w:val="0"/>
                <w:numId w:val="0"/>
              </w:numPr>
              <w:ind w:left="0" w:right="0"/>
              <w:jc w:val="both"/>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zh-CN" w:eastAsia="zh-CN"/>
              </w:rPr>
              <w:t xml:space="preserve">①若为自有</w:t>
            </w:r>
            <w:r>
              <w:rPr>
                <w:rFonts w:hint="eastAsia" w:ascii="宋体" w:hAnsi="宋体" w:eastAsia="宋体" w:cs="宋体"/>
                <w:b/>
                <w:bCs/>
                <w:color w:val="000000"/>
                <w:sz w:val="24"/>
                <w:szCs w:val="24"/>
                <w:highlight w:val="none"/>
                <w:lang w:val="en-US" w:eastAsia="zh-CN"/>
              </w:rPr>
              <w:t xml:space="preserve">设备</w:t>
            </w:r>
            <w:r>
              <w:rPr>
                <w:rFonts w:hint="eastAsia" w:ascii="宋体" w:hAnsi="宋体" w:eastAsia="宋体" w:cs="宋体"/>
                <w:b/>
                <w:bCs/>
                <w:color w:val="000000"/>
                <w:sz w:val="24"/>
                <w:szCs w:val="24"/>
                <w:highlight w:val="none"/>
                <w:lang w:val="zh-CN" w:eastAsia="zh-CN"/>
              </w:rPr>
              <w:t xml:space="preserve">须提供</w:t>
            </w:r>
            <w:r>
              <w:rPr>
                <w:rFonts w:hint="eastAsia" w:ascii="宋体" w:hAnsi="宋体" w:eastAsia="宋体" w:cs="宋体"/>
                <w:b/>
                <w:bCs/>
                <w:color w:val="000000"/>
                <w:sz w:val="24"/>
                <w:szCs w:val="24"/>
                <w:highlight w:val="none"/>
                <w:lang w:val="en-US" w:eastAsia="zh-CN"/>
              </w:rPr>
              <w:t xml:space="preserve">购买</w:t>
            </w:r>
            <w:r>
              <w:rPr>
                <w:rFonts w:hint="eastAsia" w:ascii="宋体" w:hAnsi="宋体" w:eastAsia="宋体" w:cs="宋体"/>
                <w:b/>
                <w:bCs/>
                <w:color w:val="000000"/>
                <w:sz w:val="24"/>
                <w:szCs w:val="24"/>
                <w:highlight w:val="none"/>
                <w:lang w:val="zh-CN" w:eastAsia="zh-CN"/>
              </w:rPr>
              <w:t xml:space="preserve">发票，</w:t>
            </w:r>
            <w:r>
              <w:rPr>
                <w:rFonts w:hint="eastAsia" w:ascii="宋体" w:hAnsi="宋体" w:eastAsia="宋体" w:cs="宋体"/>
                <w:b/>
                <w:bCs/>
                <w:color w:val="000000"/>
                <w:sz w:val="24"/>
                <w:szCs w:val="24"/>
                <w:highlight w:val="none"/>
                <w:lang w:val="en-US" w:eastAsia="zh-CN"/>
              </w:rPr>
              <w:t xml:space="preserve">否则不得分</w:t>
            </w:r>
            <w:r>
              <w:rPr>
                <w:rFonts w:hint="eastAsia" w:ascii="宋体" w:hAnsi="宋体" w:eastAsia="宋体" w:cs="宋体"/>
                <w:b/>
                <w:bCs/>
                <w:color w:val="000000"/>
                <w:sz w:val="24"/>
                <w:szCs w:val="24"/>
                <w:highlight w:val="none"/>
                <w:lang w:val="zh-CN" w:eastAsia="zh-CN"/>
              </w:rPr>
              <w:t xml:space="preserve">。</w:t>
            </w:r>
            <w:r>
              <w:rPr>
                <w:rFonts w:ascii="宋体" w:hAnsi="宋体" w:cs="宋体"/>
                <w:sz w:val="24"/>
                <w:szCs w:val="24"/>
              </w:rPr>
            </w:r>
            <w:r/>
          </w:p>
          <w:p>
            <w:pPr>
              <w:pStyle w:val="1068"/>
              <w:numPr>
                <w:ilvl w:val="0"/>
                <w:numId w:val="0"/>
              </w:numPr>
              <w:ind w:left="0" w:right="0"/>
              <w:jc w:val="both"/>
              <w:keepLines w:val="0"/>
              <w:keepNext w:val="0"/>
              <w:pageBreakBefore w:val="0"/>
              <w:spacing w:line="400" w:lineRule="exact"/>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zh-CN" w:eastAsia="zh-CN"/>
              </w:rPr>
              <w:t xml:space="preserve">②若为租赁</w:t>
            </w:r>
            <w:r>
              <w:rPr>
                <w:rFonts w:hint="eastAsia" w:ascii="宋体" w:hAnsi="宋体" w:eastAsia="宋体" w:cs="宋体"/>
                <w:b/>
                <w:bCs/>
                <w:color w:val="000000"/>
                <w:sz w:val="24"/>
                <w:szCs w:val="24"/>
                <w:highlight w:val="none"/>
                <w:lang w:val="en-US" w:eastAsia="zh-CN"/>
              </w:rPr>
              <w:t xml:space="preserve">设备</w:t>
            </w:r>
            <w:r>
              <w:rPr>
                <w:rFonts w:hint="eastAsia" w:ascii="宋体" w:hAnsi="宋体" w:eastAsia="宋体" w:cs="宋体"/>
                <w:b/>
                <w:bCs/>
                <w:color w:val="000000"/>
                <w:sz w:val="24"/>
                <w:szCs w:val="24"/>
                <w:highlight w:val="none"/>
                <w:lang w:val="zh-CN" w:eastAsia="zh-CN"/>
              </w:rPr>
              <w:t xml:space="preserve">须提供租赁合同（</w:t>
            </w:r>
            <w:r>
              <w:rPr>
                <w:rFonts w:hint="eastAsia" w:ascii="宋体" w:hAnsi="宋体" w:eastAsia="宋体" w:cs="宋体"/>
                <w:b/>
                <w:bCs/>
                <w:color w:val="000000"/>
                <w:sz w:val="24"/>
                <w:szCs w:val="24"/>
                <w:highlight w:val="none"/>
                <w:lang w:val="en-US" w:eastAsia="zh-CN"/>
              </w:rPr>
              <w:t xml:space="preserve">租赁协议</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和招标公告发布之日前的租赁发票</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否则不得分。</w:t>
            </w:r>
            <w:r>
              <w:rPr>
                <w:rFonts w:ascii="宋体" w:hAnsi="宋体" w:cs="宋体"/>
                <w:sz w:val="24"/>
                <w:szCs w:val="24"/>
              </w:rPr>
            </w:r>
            <w:r/>
          </w:p>
          <w:p>
            <w:pPr>
              <w:pStyle w:val="1068"/>
              <w:ind w:left="0"/>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（3）同一车辆或同一设备，不重复计分。</w:t>
            </w:r>
            <w:r>
              <w:rPr>
                <w:rFonts w:ascii="宋体" w:hAnsi="宋体" w:cs="宋体"/>
                <w:sz w:val="24"/>
                <w:szCs w:val="24"/>
              </w:rPr>
            </w:r>
            <w:r/>
          </w:p>
        </w:tc>
      </w:tr>
      <w:tr>
        <w:trPr/>
        <w:tc>
          <w:tcPr>
            <w:gridSpan w:val="2"/>
            <w:tcW w:w="2391"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659"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226"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68"/>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68"/>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68"/>
        <w:jc w:val="center"/>
        <w:spacing w:line="360" w:lineRule="auto"/>
        <w:rPr>
          <w:rFonts w:ascii="宋体" w:hAnsi="宋体"/>
          <w:b/>
          <w:color w:val="000000"/>
          <w:sz w:val="36"/>
          <w:szCs w:val="36"/>
          <w:highlight w:val="none"/>
        </w:rPr>
        <w:outlineLvl w:val="0"/>
      </w:pPr>
      <w:r/>
      <w:bookmarkStart w:id="814" w:name="_Toc99301424"/>
      <w:r>
        <w:rPr>
          <w:rFonts w:ascii="宋体" w:hAnsi="宋体"/>
          <w:b/>
          <w:color w:val="000000"/>
          <w:sz w:val="36"/>
          <w:szCs w:val="36"/>
          <w:highlight w:val="none"/>
        </w:rPr>
        <w:br w:type="page" w:clear="all"/>
      </w:r>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068"/>
        <w:ind w:right="0" w:firstLine="482"/>
        <w:jc w:val="left"/>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一、采购</w:t>
      </w:r>
      <w:r>
        <w:rPr>
          <w:rFonts w:hint="eastAsia" w:ascii="宋体" w:hAnsi="宋体" w:eastAsia="宋体" w:cs="宋体"/>
          <w:b/>
          <w:bCs/>
          <w:color w:val="000000"/>
          <w:sz w:val="24"/>
          <w:szCs w:val="24"/>
          <w:highlight w:val="none"/>
          <w:lang w:val="en-US" w:eastAsia="zh-CN"/>
        </w:rPr>
        <w:t xml:space="preserve">服务清单及限价</w:t>
      </w:r>
      <w:r>
        <w:rPr>
          <w:rFonts w:hint="eastAsia" w:ascii="宋体" w:hAnsi="宋体" w:eastAsia="宋体" w:cs="宋体"/>
          <w:b/>
          <w:bCs/>
          <w:color w:val="000000"/>
          <w:sz w:val="24"/>
          <w:szCs w:val="24"/>
          <w:highlight w:val="none"/>
          <w:lang w:val="en-US" w:eastAsia="zh-CN"/>
        </w:rPr>
      </w:r>
      <w:r/>
    </w:p>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2026-2028年薛家道路保洁、绿化养护项目清单及最高限价</w:t>
      </w:r>
      <w:r>
        <w:rPr>
          <w:rFonts w:hint="eastAsia" w:ascii="宋体" w:hAnsi="宋体" w:eastAsia="宋体" w:cs="宋体"/>
          <w:b/>
          <w:bCs/>
          <w:color w:val="000000"/>
          <w:sz w:val="24"/>
          <w:szCs w:val="24"/>
          <w:highlight w:val="none"/>
          <w:lang w:val="en-US" w:eastAsia="zh-CN"/>
        </w:rPr>
      </w:r>
      <w:r/>
    </w:p>
    <w:tbl>
      <w:tblPr>
        <w:tblStyle w:val="11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309"/>
        <w:gridCol w:w="3371"/>
        <w:gridCol w:w="907"/>
        <w:gridCol w:w="700"/>
        <w:gridCol w:w="2184"/>
      </w:tblGrid>
      <w:tr>
        <w:trPr/>
        <w:tc>
          <w:tcPr>
            <w:tcW w:w="81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gridSpan w:val="2"/>
            <w:tcW w:w="4680"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项目名称</w:t>
            </w:r>
            <w:r>
              <w:rPr>
                <w:rFonts w:hint="eastAsia" w:ascii="宋体" w:hAnsi="宋体" w:eastAsia="宋体" w:cs="宋体"/>
                <w:b/>
                <w:bCs/>
                <w:color w:val="000000"/>
                <w:sz w:val="24"/>
                <w:szCs w:val="24"/>
                <w:highlight w:val="none"/>
                <w:vertAlign w:val="baseline"/>
                <w:lang w:val="en-US" w:eastAsia="zh-CN"/>
              </w:rPr>
            </w:r>
            <w:r/>
          </w:p>
        </w:tc>
        <w:tc>
          <w:tcPr>
            <w:tcW w:w="907"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rPr>
              <w:t xml:space="preserve">单位</w:t>
            </w:r>
            <w:r>
              <w:rPr>
                <w:rFonts w:hint="eastAsia" w:ascii="宋体" w:hAnsi="宋体" w:eastAsia="宋体" w:cs="宋体"/>
                <w:b/>
                <w:bCs/>
                <w:color w:val="000000"/>
                <w:sz w:val="24"/>
                <w:szCs w:val="24"/>
                <w:highlight w:val="none"/>
                <w:vertAlign w:val="baseline"/>
                <w:lang w:val="en-US" w:eastAsia="zh-CN" w:bidi="ar-SA"/>
              </w:rPr>
            </w:r>
            <w:r/>
          </w:p>
        </w:tc>
        <w:tc>
          <w:tcPr>
            <w:tcW w:w="700"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数量</w:t>
            </w:r>
            <w:r>
              <w:rPr>
                <w:rFonts w:hint="eastAsia" w:ascii="宋体" w:hAnsi="宋体" w:eastAsia="宋体" w:cs="宋体"/>
                <w:b/>
                <w:bCs/>
                <w:color w:val="000000"/>
                <w:sz w:val="24"/>
                <w:szCs w:val="24"/>
                <w:highlight w:val="none"/>
                <w:vertAlign w:val="baseline"/>
                <w:lang w:val="en-US" w:eastAsia="zh-CN"/>
              </w:rPr>
            </w:r>
            <w:r/>
          </w:p>
        </w:tc>
        <w:tc>
          <w:tcPr>
            <w:tcW w:w="2184"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最高限价（元/年）</w:t>
            </w:r>
            <w:r>
              <w:rPr>
                <w:rFonts w:hint="eastAsia" w:ascii="宋体" w:hAnsi="宋体" w:eastAsia="宋体" w:cs="宋体"/>
                <w:b/>
                <w:bCs/>
                <w:color w:val="000000"/>
                <w:sz w:val="24"/>
                <w:szCs w:val="24"/>
                <w:highlight w:val="none"/>
                <w:vertAlign w:val="baseline"/>
                <w:lang w:val="en-US" w:eastAsia="zh-CN"/>
              </w:rPr>
            </w:r>
            <w:r/>
          </w:p>
        </w:tc>
      </w:tr>
      <w:tr>
        <w:trPr/>
        <w:tc>
          <w:tcPr>
            <w:tcW w:w="81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gridSpan w:val="2"/>
            <w:tcW w:w="4680"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道路保洁</w:t>
            </w:r>
            <w:r>
              <w:rPr>
                <w:rFonts w:hint="eastAsia" w:ascii="宋体" w:hAnsi="宋体" w:eastAsia="宋体" w:cs="宋体"/>
                <w:color w:val="000000"/>
                <w:sz w:val="24"/>
                <w:szCs w:val="24"/>
                <w:highlight w:val="none"/>
                <w:vertAlign w:val="baseline"/>
                <w:lang w:val="en-US" w:eastAsia="zh-CN"/>
              </w:rPr>
            </w:r>
            <w:r/>
          </w:p>
        </w:tc>
        <w:tc>
          <w:tcPr>
            <w:tcW w:w="90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700"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3462700.00</w:t>
            </w:r>
            <w:r>
              <w:rPr>
                <w:rFonts w:hint="eastAsia" w:ascii="宋体" w:hAnsi="宋体" w:eastAsia="宋体" w:cs="宋体"/>
                <w:color w:val="000000"/>
                <w:sz w:val="24"/>
                <w:szCs w:val="24"/>
                <w:highlight w:val="none"/>
                <w:vertAlign w:val="baseline"/>
                <w:lang w:val="en-US" w:eastAsia="zh-CN"/>
              </w:rPr>
            </w:r>
            <w:r/>
          </w:p>
        </w:tc>
      </w:tr>
      <w:tr>
        <w:trPr/>
        <w:tc>
          <w:tcPr>
            <w:tcW w:w="81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gridSpan w:val="2"/>
            <w:tcW w:w="4680"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公厕、垃圾中转站水电费及维修</w:t>
            </w:r>
            <w:r>
              <w:rPr>
                <w:rFonts w:hint="eastAsia" w:ascii="宋体" w:hAnsi="宋体" w:eastAsia="宋体" w:cs="宋体"/>
                <w:color w:val="000000"/>
                <w:sz w:val="24"/>
                <w:szCs w:val="24"/>
                <w:highlight w:val="none"/>
                <w:vertAlign w:val="baseline"/>
                <w:lang w:val="en-US" w:eastAsia="zh-CN"/>
              </w:rPr>
            </w:r>
            <w:r/>
          </w:p>
        </w:tc>
        <w:tc>
          <w:tcPr>
            <w:tcW w:w="90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700"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208000.00</w:t>
            </w:r>
            <w:r>
              <w:rPr>
                <w:rFonts w:hint="eastAsia" w:ascii="宋体" w:hAnsi="宋体" w:eastAsia="宋体" w:cs="宋体"/>
                <w:color w:val="000000"/>
                <w:sz w:val="24"/>
                <w:szCs w:val="24"/>
                <w:highlight w:val="none"/>
                <w:vertAlign w:val="baseline"/>
                <w:lang w:val="en-US" w:eastAsia="zh-CN"/>
              </w:rPr>
            </w:r>
            <w:r/>
          </w:p>
        </w:tc>
      </w:tr>
      <w:tr>
        <w:trPr/>
        <w:tc>
          <w:tcPr>
            <w:tcW w:w="81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1309" w:type="dxa"/>
            <w:vAlign w:val="center"/>
            <w:vMerge w:val="restart"/>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绿化养护</w:t>
            </w:r>
            <w:r>
              <w:rPr>
                <w:rFonts w:hint="eastAsia" w:ascii="宋体" w:hAnsi="宋体" w:eastAsia="宋体" w:cs="宋体"/>
                <w:color w:val="000000"/>
                <w:sz w:val="24"/>
                <w:szCs w:val="24"/>
                <w:highlight w:val="none"/>
                <w:vertAlign w:val="baseline"/>
                <w:lang w:val="en-US" w:eastAsia="zh-CN"/>
              </w:rPr>
            </w:r>
            <w:r/>
          </w:p>
        </w:tc>
        <w:tc>
          <w:tcPr>
            <w:tcW w:w="3371"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镇区绿化</w:t>
            </w:r>
            <w:r>
              <w:rPr>
                <w:rFonts w:hint="eastAsia" w:ascii="宋体" w:hAnsi="宋体" w:eastAsia="宋体" w:cs="宋体"/>
                <w:color w:val="000000"/>
                <w:sz w:val="24"/>
                <w:szCs w:val="24"/>
                <w:highlight w:val="none"/>
                <w:vertAlign w:val="baseline"/>
                <w:lang w:val="en-US" w:eastAsia="zh-CN"/>
              </w:rPr>
            </w:r>
            <w:r/>
          </w:p>
        </w:tc>
        <w:tc>
          <w:tcPr>
            <w:tcW w:w="90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700"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1640874.00</w:t>
            </w:r>
            <w:r>
              <w:rPr>
                <w:rFonts w:hint="eastAsia" w:ascii="宋体" w:hAnsi="宋体" w:eastAsia="宋体" w:cs="宋体"/>
                <w:color w:val="000000"/>
                <w:sz w:val="24"/>
                <w:szCs w:val="24"/>
                <w:highlight w:val="none"/>
                <w:vertAlign w:val="baseline"/>
                <w:lang w:val="en-US" w:eastAsia="zh-CN"/>
              </w:rPr>
            </w:r>
            <w:r/>
          </w:p>
        </w:tc>
      </w:tr>
      <w:tr>
        <w:trPr/>
        <w:tc>
          <w:tcPr>
            <w:tcW w:w="81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1309" w:type="dxa"/>
            <w:vAlign w:val="center"/>
            <w:vMerge w:val="continue"/>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371"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外围绿化</w:t>
            </w:r>
            <w:r>
              <w:rPr>
                <w:rFonts w:hint="eastAsia" w:ascii="宋体" w:hAnsi="宋体" w:eastAsia="宋体" w:cs="宋体"/>
                <w:color w:val="000000"/>
                <w:sz w:val="24"/>
                <w:szCs w:val="24"/>
                <w:highlight w:val="none"/>
                <w:vertAlign w:val="baseline"/>
                <w:lang w:val="en-US" w:eastAsia="zh-CN" w:bidi="ar-SA"/>
              </w:rPr>
            </w:r>
            <w:r/>
          </w:p>
        </w:tc>
        <w:tc>
          <w:tcPr>
            <w:tcW w:w="90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bidi="ar-SA"/>
              </w:rPr>
            </w:r>
            <w:r/>
          </w:p>
        </w:tc>
        <w:tc>
          <w:tcPr>
            <w:tcW w:w="700"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bidi="ar-SA"/>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1387699.85</w:t>
            </w:r>
            <w:r>
              <w:rPr>
                <w:rFonts w:hint="eastAsia" w:ascii="宋体" w:hAnsi="宋体" w:eastAsia="宋体" w:cs="宋体"/>
                <w:color w:val="000000"/>
                <w:sz w:val="24"/>
                <w:szCs w:val="24"/>
                <w:highlight w:val="none"/>
                <w:vertAlign w:val="baseline"/>
                <w:lang w:val="en-US" w:eastAsia="zh-CN" w:bidi="ar-SA"/>
              </w:rPr>
            </w:r>
            <w:r/>
          </w:p>
        </w:tc>
      </w:tr>
      <w:tr>
        <w:trPr/>
        <w:tc>
          <w:tcPr>
            <w:tcW w:w="81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eastAsia" w:ascii="宋体" w:hAnsi="宋体" w:eastAsia="宋体" w:cs="宋体"/>
                <w:color w:val="000000"/>
                <w:sz w:val="24"/>
                <w:szCs w:val="24"/>
                <w:highlight w:val="none"/>
                <w:vertAlign w:val="baseline"/>
                <w:lang w:val="en-US" w:eastAsia="zh-CN"/>
              </w:rPr>
            </w:r>
            <w:r/>
          </w:p>
        </w:tc>
        <w:tc>
          <w:tcPr>
            <w:tcW w:w="1309" w:type="dxa"/>
            <w:vAlign w:val="top"/>
            <w:vMerge w:val="continue"/>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371"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城际铁路和沪宁高速沿线</w:t>
            </w:r>
            <w:r>
              <w:rPr>
                <w:rFonts w:hint="eastAsia" w:ascii="宋体" w:hAnsi="宋体" w:eastAsia="宋体" w:cs="宋体"/>
                <w:color w:val="000000"/>
                <w:sz w:val="24"/>
                <w:szCs w:val="24"/>
                <w:highlight w:val="none"/>
                <w:vertAlign w:val="baseline"/>
                <w:lang w:val="en-US" w:eastAsia="zh-CN"/>
              </w:rPr>
            </w:r>
            <w:r/>
          </w:p>
        </w:tc>
        <w:tc>
          <w:tcPr>
            <w:tcW w:w="90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bidi="ar-SA"/>
              </w:rPr>
            </w:r>
            <w:r/>
          </w:p>
        </w:tc>
        <w:tc>
          <w:tcPr>
            <w:tcW w:w="700"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bidi="ar-SA"/>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759360.00</w:t>
            </w:r>
            <w:r>
              <w:rPr>
                <w:rFonts w:hint="eastAsia" w:ascii="宋体" w:hAnsi="宋体" w:eastAsia="宋体" w:cs="宋体"/>
                <w:color w:val="000000"/>
                <w:sz w:val="24"/>
                <w:szCs w:val="24"/>
                <w:highlight w:val="none"/>
                <w:vertAlign w:val="baseline"/>
                <w:lang w:val="en-US" w:eastAsia="zh-CN" w:bidi="ar-SA"/>
              </w:rPr>
            </w:r>
            <w:r/>
          </w:p>
        </w:tc>
      </w:tr>
      <w:tr>
        <w:trPr/>
        <w:tc>
          <w:tcPr>
            <w:gridSpan w:val="5"/>
            <w:tcW w:w="7102"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合计</w:t>
            </w:r>
            <w:r>
              <w:rPr>
                <w:rFonts w:hint="eastAsia" w:ascii="宋体" w:hAnsi="宋体" w:eastAsia="宋体" w:cs="宋体"/>
                <w:color w:val="000000"/>
                <w:sz w:val="24"/>
                <w:szCs w:val="24"/>
                <w:highlight w:val="none"/>
                <w:vertAlign w:val="baseline"/>
                <w:lang w:val="en-US" w:eastAsia="zh-CN" w:bidi="ar-SA"/>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7458633.85</w:t>
            </w:r>
            <w:r>
              <w:rPr>
                <w:rFonts w:hint="eastAsia" w:ascii="宋体" w:hAnsi="宋体" w:eastAsia="宋体" w:cs="宋体"/>
                <w:color w:val="000000"/>
                <w:sz w:val="24"/>
                <w:szCs w:val="24"/>
                <w:highlight w:val="none"/>
                <w:vertAlign w:val="baseline"/>
                <w:lang w:val="en-US" w:eastAsia="zh-CN"/>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1.薛家道路保洁清单及最高限价</w:t>
      </w:r>
      <w:r>
        <w:rPr>
          <w:rFonts w:hint="eastAsia" w:ascii="宋体" w:hAnsi="宋体" w:eastAsia="宋体" w:cs="宋体"/>
          <w:b/>
          <w:bCs/>
          <w:color w:val="000000"/>
          <w:sz w:val="24"/>
          <w:szCs w:val="24"/>
          <w:highlight w:val="none"/>
          <w:lang w:val="en-US" w:eastAsia="zh-CN"/>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811"/>
        <w:gridCol w:w="2662"/>
        <w:gridCol w:w="1977"/>
        <w:gridCol w:w="1214"/>
        <w:gridCol w:w="1199"/>
        <w:gridCol w:w="1418"/>
      </w:tblGrid>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路名</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长宽（</w:t>
            </w:r>
            <w:r>
              <w:rPr>
                <w:rFonts w:hint="eastAsia" w:ascii="宋体" w:hAnsi="宋体" w:eastAsia="宋体" w:cs="宋体"/>
                <w:b/>
                <w:bCs/>
                <w:color w:val="000000"/>
                <w:sz w:val="24"/>
                <w:szCs w:val="24"/>
                <w:highlight w:val="none"/>
                <w:lang w:val="en-US" w:eastAsia="zh-CN" w:bidi="ar"/>
              </w:rPr>
              <w:t xml:space="preserve">m</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面积（㎡）</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道板（㎡）</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2600*22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57200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包括新晨路</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奥园路南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凤翔路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建业路南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薛冶路南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漕河园区路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后肖园区路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勤奋路南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正强路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富强路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126*9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1134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富康路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凤玉路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4400*12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漕河路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南漕河路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中山路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4920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庆南电镀厂西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4770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南广场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116783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龙城大道-</w:t>
            </w:r>
            <w:r>
              <w:rPr>
                <w:rStyle w:val="1322"/>
                <w:rFonts w:hint="eastAsia" w:ascii="宋体" w:hAnsi="宋体" w:eastAsia="宋体" w:cs="宋体"/>
                <w:color w:val="000000"/>
                <w:sz w:val="24"/>
                <w:szCs w:val="24"/>
                <w:highlight w:val="none"/>
                <w:lang w:bidi="ar"/>
              </w:rPr>
              <w:t xml:space="preserve">黄河路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148630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河海路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春江路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114040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德胜河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113260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龙城大道-</w:t>
            </w:r>
            <w:r>
              <w:rPr>
                <w:rStyle w:val="1322"/>
                <w:rFonts w:hint="eastAsia" w:ascii="宋体" w:hAnsi="宋体" w:eastAsia="宋体" w:cs="宋体"/>
                <w:color w:val="000000"/>
                <w:sz w:val="24"/>
                <w:szCs w:val="24"/>
                <w:highlight w:val="none"/>
                <w:lang w:bidi="ar"/>
              </w:rPr>
              <w:t xml:space="preserve">黄河路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79200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春江路指示牌-</w:t>
            </w:r>
            <w:r>
              <w:rPr>
                <w:rStyle w:val="1322"/>
                <w:rFonts w:hint="eastAsia" w:ascii="宋体" w:hAnsi="宋体" w:eastAsia="宋体" w:cs="宋体"/>
                <w:color w:val="000000"/>
                <w:sz w:val="24"/>
                <w:szCs w:val="24"/>
                <w:highlight w:val="none"/>
                <w:lang w:bidi="ar"/>
              </w:rPr>
              <w:t xml:space="preserve">彩钢厂围墙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187200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机场路绿道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天山路-</w:t>
            </w:r>
            <w:r>
              <w:rPr>
                <w:rStyle w:val="1322"/>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汉江路绿道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w:t>
            </w:r>
            <w:r>
              <w:rPr>
                <w:rStyle w:val="1322"/>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吕汤路（黄河路至运河路）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4500*18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81000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吕西路（黄河路至汉江路）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汉江路（德胜河至吕西桥）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河海路（吕汤路至吕西路）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吕墅工业园区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德胜北路（吕汤路至德胜桥）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17500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清明路（德胜南路至德胜北路）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吕墅小学门前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200*120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德胜南路（吕汤路至吕墅中学）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吕墅四路（吕墅西路-</w:t>
            </w:r>
            <w:r>
              <w:rPr>
                <w:rStyle w:val="1323"/>
                <w:rFonts w:hint="eastAsia" w:ascii="宋体" w:hAnsi="宋体" w:eastAsia="宋体" w:cs="宋体"/>
                <w:color w:val="000000"/>
                <w:sz w:val="24"/>
                <w:szCs w:val="24"/>
                <w:highlight w:val="none"/>
                <w:lang w:bidi="ar"/>
              </w:rPr>
              <w:t xml:space="preserve">吕汤路）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吕墅二路（汉江路-</w:t>
            </w:r>
            <w:r>
              <w:rPr>
                <w:rStyle w:val="1323"/>
                <w:rFonts w:hint="eastAsia" w:ascii="宋体" w:hAnsi="宋体" w:eastAsia="宋体" w:cs="宋体"/>
                <w:color w:val="000000"/>
                <w:sz w:val="24"/>
                <w:szCs w:val="24"/>
                <w:highlight w:val="none"/>
                <w:lang w:bidi="ar"/>
              </w:rPr>
              <w:t xml:space="preserve">吕四路）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Style w:val="1323"/>
                <w:rFonts w:hint="eastAsia" w:ascii="宋体" w:hAnsi="宋体" w:eastAsia="宋体" w:cs="宋体"/>
                <w:color w:val="000000"/>
                <w:sz w:val="24"/>
                <w:szCs w:val="24"/>
                <w:highlight w:val="none"/>
                <w:lang w:bidi="ar"/>
              </w:rPr>
              <w:t xml:space="preserve">春江路南端、红河路、漕河路</w:t>
            </w:r>
            <w:r>
              <w:rPr>
                <w:rFonts w:hint="eastAsia" w:ascii="宋体" w:hAnsi="宋体" w:eastAsia="宋体" w:cs="宋体"/>
                <w:color w:val="000000"/>
                <w:sz w:val="24"/>
                <w:szCs w:val="24"/>
                <w:highlight w:val="none"/>
                <w:lang w:bidi="ar"/>
              </w:rPr>
              <w:t xml:space="preserve">9</w:t>
            </w:r>
            <w:r>
              <w:rPr>
                <w:rStyle w:val="1323"/>
                <w:rFonts w:hint="eastAsia" w:ascii="宋体" w:hAnsi="宋体" w:eastAsia="宋体" w:cs="宋体"/>
                <w:color w:val="000000"/>
                <w:sz w:val="24"/>
                <w:szCs w:val="24"/>
                <w:highlight w:val="none"/>
                <w:lang w:bidi="ar"/>
              </w:rPr>
              <w:t xml:space="preserve">号、晨光树脂门前、多棱多路、龙江北路</w:t>
            </w:r>
            <w:r>
              <w:rPr>
                <w:rFonts w:hint="eastAsia" w:ascii="宋体" w:hAnsi="宋体" w:eastAsia="宋体" w:cs="宋体"/>
                <w:color w:val="000000"/>
                <w:sz w:val="24"/>
                <w:szCs w:val="24"/>
                <w:highlight w:val="none"/>
                <w:lang w:bidi="ar"/>
              </w:rPr>
              <w:t xml:space="preserve">10-1</w:t>
            </w:r>
            <w:r>
              <w:rPr>
                <w:rStyle w:val="1323"/>
                <w:rFonts w:hint="eastAsia" w:ascii="宋体" w:hAnsi="宋体" w:eastAsia="宋体" w:cs="宋体"/>
                <w:color w:val="000000"/>
                <w:sz w:val="24"/>
                <w:szCs w:val="24"/>
                <w:highlight w:val="none"/>
                <w:lang w:bidi="ar"/>
              </w:rPr>
              <w:t xml:space="preserve">门前道路等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16617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中心公园保洁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易腐垃圾处理点5</w:t>
            </w:r>
            <w:r>
              <w:rPr>
                <w:rStyle w:val="1322"/>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奥园路北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建业路北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薛冶路北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勤奋北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科勒路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280*20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丰田路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780*12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9360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金融路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6148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932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瀛平路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2700*10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24735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临平路</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730*30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21900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丽园路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3300*11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22106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锦园路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900*7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希望路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10580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南北街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北环西路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松林路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对窑路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常蒸厂西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240*4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庆南电镀厂西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4770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玉龙桥下</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325*40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玉龙桥匝道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550*14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7700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商贸中心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5752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农贸市场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7568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颜塘公园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16662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北广场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政府周边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新七路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1280</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lang w:bidi="ar"/>
              </w:rPr>
              <w:t xml:space="preserve">*12</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15360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虎丘路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330</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lang w:bidi="ar"/>
              </w:rPr>
              <w:t xml:space="preserve">*12</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3960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黄河路-</w:t>
            </w:r>
            <w:r>
              <w:rPr>
                <w:rStyle w:val="1322"/>
                <w:rFonts w:hint="eastAsia" w:ascii="宋体" w:hAnsi="宋体" w:eastAsia="宋体" w:cs="宋体"/>
                <w:color w:val="000000"/>
                <w:sz w:val="24"/>
                <w:szCs w:val="24"/>
                <w:highlight w:val="none"/>
                <w:lang w:bidi="ar"/>
              </w:rPr>
              <w:t xml:space="preserve">龙魏路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69000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黄河路-</w:t>
            </w:r>
            <w:r>
              <w:rPr>
                <w:rStyle w:val="1322"/>
                <w:rFonts w:hint="eastAsia" w:ascii="宋体" w:hAnsi="宋体" w:eastAsia="宋体" w:cs="宋体"/>
                <w:color w:val="000000"/>
                <w:sz w:val="24"/>
                <w:szCs w:val="24"/>
                <w:highlight w:val="none"/>
                <w:lang w:bidi="ar"/>
              </w:rPr>
              <w:t xml:space="preserve">玉龙桥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黄河西路</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包家桥</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186000</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13200</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冲洒5</w:t>
            </w:r>
            <w:r>
              <w:rPr>
                <w:rStyle w:val="1322"/>
                <w:rFonts w:hint="eastAsia" w:ascii="宋体" w:hAnsi="宋体" w:eastAsia="宋体" w:cs="宋体"/>
                <w:color w:val="000000"/>
                <w:sz w:val="24"/>
                <w:szCs w:val="24"/>
                <w:highlight w:val="none"/>
                <w:lang w:bidi="ar"/>
              </w:rPr>
              <w:t xml:space="preserve">遍</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top"/>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生命健康产业园区保洁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419336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吴家场、对窑村保洁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新增农民乐园，扣除松林别墅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103160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雁荡公园、北广场、雁荡河两侧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春江路北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1047米*30米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奥园路南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其他薛家镇区域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道路为覆盖死角</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薛家园区道路</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河海路-龙江路</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5400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2700112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185141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总计</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2885253</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c>
          <w:tcPr>
            <w:gridSpan w:val="3"/>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费用合计</w:t>
            </w:r>
            <w:r>
              <w:rPr>
                <w:rFonts w:ascii="宋体" w:hAnsi="宋体" w:eastAsia="宋体" w:cs="宋体"/>
                <w:color w:val="000000"/>
                <w:sz w:val="24"/>
                <w:szCs w:val="24"/>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831"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vertAlign w:val="baseline"/>
                <w:lang w:val="en-US" w:eastAsia="zh-CN"/>
              </w:rPr>
              <w:t xml:space="preserve">3462700.0元/年</w:t>
            </w:r>
            <w:r>
              <w:rPr>
                <w:rFonts w:hint="eastAsia" w:ascii="宋体" w:hAnsi="宋体" w:eastAsia="宋体" w:cs="宋体"/>
                <w:color w:val="000000"/>
                <w:sz w:val="24"/>
                <w:szCs w:val="24"/>
                <w:highlight w:val="none"/>
                <w:lang w:val="en-US" w:eastAsia="zh-CN"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2.公厕、垃圾中转站水电费及维修费清单及最高限价</w:t>
      </w:r>
      <w:r>
        <w:rPr>
          <w:rFonts w:hint="eastAsia" w:ascii="宋体" w:hAnsi="宋体" w:eastAsia="宋体" w:cs="宋体"/>
          <w:b/>
          <w:bCs/>
          <w:color w:val="000000"/>
          <w:sz w:val="24"/>
          <w:szCs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856"/>
        <w:gridCol w:w="1469"/>
        <w:gridCol w:w="1577"/>
        <w:gridCol w:w="1555"/>
        <w:gridCol w:w="1589"/>
      </w:tblGrid>
      <w:tr>
        <w:trPr>
          <w:trHeight w:val="510"/>
        </w:trPr>
        <w:tc>
          <w:tcPr>
            <w:gridSpan w:val="6"/>
            <w:tcW w:w="9288" w:type="dxa"/>
            <w:vAlign w:val="center"/>
            <w:textDirection w:val="lrTb"/>
            <w:noWrap/>
          </w:tcPr>
          <w:p>
            <w:pPr>
              <w:pStyle w:val="1068"/>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val="en-US" w:eastAsia="zh-CN"/>
              </w:rPr>
              <w:t xml:space="preserve">公厕水电费及维修费</w:t>
            </w:r>
            <w:r>
              <w:rPr>
                <w:rFonts w:hint="eastAsia" w:ascii="宋体" w:hAnsi="宋体" w:eastAsia="宋体" w:cs="宋体"/>
                <w:b/>
                <w:bCs/>
                <w:color w:val="000000"/>
                <w:sz w:val="24"/>
                <w:szCs w:val="24"/>
                <w:highlight w:val="none"/>
                <w:lang w:val="en-US" w:eastAsia="zh-CN" w:bidi="ar"/>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SA"/>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公厕名称</w:t>
            </w:r>
            <w:r>
              <w:rPr>
                <w:rFonts w:hint="eastAsia" w:ascii="宋体" w:hAnsi="宋体" w:eastAsia="宋体" w:cs="宋体"/>
                <w:b/>
                <w:bCs/>
                <w:color w:val="000000"/>
                <w:sz w:val="24"/>
                <w:szCs w:val="24"/>
                <w:highlight w:val="none"/>
                <w:lang w:val="en-US" w:eastAsia="zh-CN" w:bidi="ar-SA"/>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水电费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吕墅幼儿园旁</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吕墅菜场南</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商贸中心</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童子路北</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童子路南</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shd w:val="clear" w:color="auto" w:fill="ffffff"/>
            <w:tcW w:w="100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九村东侧商铺公厕</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国土所公厕</w:t>
            </w:r>
            <w:r>
              <w:rPr>
                <w:rFonts w:hint="eastAsia" w:ascii="宋体" w:hAnsi="宋体" w:eastAsia="宋体" w:cs="宋体"/>
                <w:color w:val="000000"/>
                <w:sz w:val="24"/>
                <w:szCs w:val="24"/>
                <w:highlight w:val="none"/>
              </w:rPr>
            </w:r>
            <w:r/>
          </w:p>
        </w:tc>
        <w:tc>
          <w:tcPr>
            <w:shd w:val="clear" w:color="auto" w:fill="ffffff"/>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七天小公园</w:t>
            </w:r>
            <w:r>
              <w:rPr>
                <w:rFonts w:hint="eastAsia" w:ascii="宋体" w:hAnsi="宋体" w:eastAsia="宋体" w:cs="宋体"/>
                <w:color w:val="000000"/>
                <w:sz w:val="24"/>
                <w:szCs w:val="24"/>
                <w:highlight w:val="none"/>
              </w:rPr>
            </w:r>
            <w:r/>
          </w:p>
        </w:tc>
        <w:tc>
          <w:tcPr>
            <w:shd w:val="clear" w:color="auto" w:fill="ffffff"/>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庆阳路公厕</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北广场公厕</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薛家北街公厕</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松林桥</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步行街公厕</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中心公园南</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中心公园北</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临平路公厕</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510"/>
        </w:trPr>
        <w:tc>
          <w:tcPr>
            <w:gridSpan w:val="2"/>
            <w:tcW w:w="309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rPr>
            </w:r>
            <w:r/>
          </w:p>
        </w:tc>
      </w:tr>
      <w:tr>
        <w:trPr>
          <w:trHeight w:val="510"/>
        </w:trPr>
        <w:tc>
          <w:tcPr>
            <w:gridSpan w:val="6"/>
            <w:tcW w:w="9288" w:type="dxa"/>
            <w:vAlign w:val="center"/>
            <w:textDirection w:val="lrTb"/>
            <w:noWrap/>
          </w:tcPr>
          <w:p>
            <w:pPr>
              <w:pStyle w:val="1068"/>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二、</w:t>
            </w:r>
            <w:r>
              <w:rPr>
                <w:rFonts w:hint="eastAsia" w:ascii="宋体" w:hAnsi="宋体" w:eastAsia="宋体" w:cs="宋体"/>
                <w:b/>
                <w:bCs/>
                <w:color w:val="000000"/>
                <w:sz w:val="24"/>
                <w:szCs w:val="24"/>
                <w:highlight w:val="none"/>
                <w:lang w:val="en-US" w:eastAsia="zh-CN"/>
              </w:rPr>
              <w:t xml:space="preserve">垃圾中转站维修费</w:t>
            </w:r>
            <w:r>
              <w:rPr>
                <w:rFonts w:hint="eastAsia" w:ascii="宋体" w:hAnsi="宋体" w:eastAsia="宋体" w:cs="宋体"/>
                <w:color w:val="000000"/>
                <w:sz w:val="24"/>
                <w:szCs w:val="24"/>
                <w:highlight w:val="none"/>
                <w:lang w:val="en-US" w:eastAsia="zh-CN"/>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SA"/>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lang w:val="en-US" w:eastAsia="zh-CN" w:bidi="ar-SA"/>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水电费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中转站</w:t>
            </w:r>
            <w:r>
              <w:rPr>
                <w:rFonts w:hint="eastAsia" w:ascii="宋体" w:hAnsi="宋体" w:eastAsia="宋体" w:cs="宋体"/>
                <w:color w:val="000000"/>
                <w:sz w:val="24"/>
                <w:szCs w:val="24"/>
                <w:highlight w:val="none"/>
                <w:lang w:val="en-US" w:eastAsia="zh-CN"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bidi="ar-SA"/>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r>
      <w:tr>
        <w:trPr>
          <w:trHeight w:val="510"/>
        </w:trPr>
        <w:tc>
          <w:tcPr>
            <w:gridSpan w:val="2"/>
            <w:tcW w:w="309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r>
      <w:tr>
        <w:trPr>
          <w:trHeight w:val="510"/>
        </w:trPr>
        <w:tc>
          <w:tcPr>
            <w:gridSpan w:val="2"/>
            <w:tcW w:w="309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三、总计</w:t>
            </w:r>
            <w:r>
              <w:rPr>
                <w:rFonts w:hint="eastAsia" w:ascii="宋体" w:hAnsi="宋体" w:eastAsia="宋体" w:cs="宋体"/>
                <w:color w:val="000000"/>
                <w:sz w:val="24"/>
                <w:szCs w:val="24"/>
                <w:highlight w:val="none"/>
                <w:lang w:bidi="ar"/>
              </w:rPr>
            </w:r>
            <w:r/>
          </w:p>
        </w:tc>
        <w:tc>
          <w:tcPr>
            <w:gridSpan w:val="4"/>
            <w:tcW w:w="6190"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公厕水电费+公厕维修费+垃圾中转站维修费</w:t>
            </w:r>
            <w:r>
              <w:rPr>
                <w:rFonts w:ascii="宋体" w:hAnsi="宋体" w:eastAsia="宋体" w:cs="宋体"/>
                <w:color w:val="000000"/>
                <w:sz w:val="24"/>
                <w:szCs w:val="24"/>
                <w:highlight w:val="none"/>
                <w:lang w:val="en-US"/>
              </w:rPr>
            </w:r>
            <w:r/>
          </w:p>
        </w:tc>
      </w:tr>
      <w:tr>
        <w:trPr>
          <w:trHeight w:val="510"/>
        </w:trPr>
        <w:tc>
          <w:tcPr>
            <w:gridSpan w:val="2"/>
            <w:tcW w:w="3098" w:type="dxa"/>
            <w:vAlign w:val="center"/>
            <w:textDirection w:val="lrTb"/>
            <w:noWrap/>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年份</w:t>
            </w:r>
            <w:r>
              <w:rPr>
                <w:rFonts w:ascii="宋体" w:hAnsi="宋体" w:eastAsia="宋体" w:cs="宋体"/>
                <w:b/>
                <w:bCs/>
                <w:color w:val="000000"/>
                <w:sz w:val="24"/>
                <w:szCs w:val="24"/>
                <w:highlight w:val="none"/>
                <w:lang w:val="en-US" w:eastAsia="zh-CN"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2026年</w:t>
            </w:r>
            <w:r>
              <w:rPr>
                <w:rFonts w:hint="eastAsia" w:ascii="宋体" w:hAnsi="宋体" w:eastAsia="宋体" w:cs="宋体"/>
                <w:color w:val="000000"/>
                <w:sz w:val="24"/>
                <w:szCs w:val="24"/>
                <w:highlight w:val="none"/>
                <w:lang w:val="en-US" w:eastAsia="zh-CN" w:bidi="ar-SA"/>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2027年</w:t>
            </w:r>
            <w:r>
              <w:rPr>
                <w:rFonts w:hint="eastAsia" w:ascii="宋体" w:hAnsi="宋体" w:eastAsia="宋体" w:cs="宋体"/>
                <w:color w:val="000000"/>
                <w:sz w:val="24"/>
                <w:szCs w:val="24"/>
                <w:highlight w:val="none"/>
                <w:lang w:val="en-US" w:eastAsia="zh-CN" w:bidi="ar-SA"/>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2028年</w:t>
            </w:r>
            <w:r>
              <w:rPr>
                <w:rFonts w:hint="eastAsia" w:ascii="宋体" w:hAnsi="宋体" w:eastAsia="宋体" w:cs="宋体"/>
                <w:color w:val="000000"/>
                <w:sz w:val="24"/>
                <w:szCs w:val="24"/>
                <w:highlight w:val="none"/>
                <w:lang w:val="en-US" w:eastAsia="zh-CN" w:bidi="ar-SA"/>
              </w:rPr>
            </w:r>
            <w:r/>
          </w:p>
        </w:tc>
      </w:tr>
      <w:tr>
        <w:trPr>
          <w:trHeight w:val="510"/>
        </w:trPr>
        <w:tc>
          <w:tcPr>
            <w:gridSpan w:val="2"/>
            <w:tcW w:w="309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单年总计</w:t>
            </w:r>
            <w:r>
              <w:rPr>
                <w:rFonts w:hint="eastAsia" w:ascii="宋体" w:hAnsi="宋体" w:eastAsia="宋体" w:cs="宋体"/>
                <w:b/>
                <w:bCs/>
                <w:color w:val="000000"/>
                <w:sz w:val="24"/>
                <w:szCs w:val="24"/>
                <w:highlight w:val="none"/>
                <w:lang w:val="en-US" w:eastAsia="zh-CN"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176000</w:t>
            </w:r>
            <w:r>
              <w:rPr>
                <w:rFonts w:hint="eastAsia" w:ascii="宋体" w:hAnsi="宋体" w:eastAsia="宋体" w:cs="宋体"/>
                <w:color w:val="000000"/>
                <w:sz w:val="24"/>
                <w:szCs w:val="24"/>
                <w:highlight w:val="none"/>
                <w:lang w:val="en-US" w:eastAsia="zh-CN" w:bidi="ar-SA"/>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184000</w:t>
            </w:r>
            <w:r>
              <w:rPr>
                <w:rFonts w:hint="eastAsia" w:ascii="宋体" w:hAnsi="宋体" w:eastAsia="宋体" w:cs="宋体"/>
                <w:color w:val="000000"/>
                <w:sz w:val="24"/>
                <w:szCs w:val="24"/>
                <w:highlight w:val="none"/>
                <w:lang w:val="en-US" w:eastAsia="zh-CN" w:bidi="ar-SA"/>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208000</w:t>
            </w:r>
            <w:r>
              <w:rPr>
                <w:rFonts w:hint="eastAsia" w:ascii="宋体" w:hAnsi="宋体" w:eastAsia="宋体" w:cs="宋体"/>
                <w:color w:val="000000"/>
                <w:sz w:val="24"/>
                <w:szCs w:val="24"/>
                <w:highlight w:val="none"/>
                <w:lang w:val="en-US" w:eastAsia="zh-CN" w:bidi="ar-SA"/>
              </w:rPr>
            </w:r>
            <w:r/>
          </w:p>
        </w:tc>
      </w:tr>
      <w:tr>
        <w:trPr>
          <w:trHeight w:val="510"/>
        </w:trPr>
        <w:tc>
          <w:tcPr>
            <w:gridSpan w:val="6"/>
            <w:tcW w:w="9288" w:type="dxa"/>
            <w:vAlign w:val="center"/>
            <w:textDirection w:val="lrTb"/>
            <w:noWrap/>
          </w:tcPr>
          <w:p>
            <w:pPr>
              <w:pStyle w:val="1068"/>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注：2025年10月1日-2027年9月30日部分公厕维保期内，维保期内公厕不再支付维保费，维保外的公厕维保费用为4000元/座/年。</w:t>
            </w:r>
            <w:r>
              <w:rPr>
                <w:rFonts w:hint="eastAsia" w:ascii="宋体" w:hAnsi="宋体" w:eastAsia="宋体" w:cs="宋体"/>
                <w:color w:val="000000"/>
                <w:sz w:val="24"/>
                <w:szCs w:val="24"/>
                <w:highlight w:val="none"/>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3.镇区绿化养护清单及最高限价</w:t>
      </w:r>
      <w:r>
        <w:rPr>
          <w:rFonts w:hint="eastAsia" w:ascii="宋体" w:hAnsi="宋体" w:eastAsia="宋体" w:cs="宋体"/>
          <w:b/>
          <w:bCs/>
          <w:color w:val="000000"/>
          <w:sz w:val="24"/>
          <w:szCs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766"/>
        <w:gridCol w:w="955"/>
        <w:gridCol w:w="1159"/>
        <w:gridCol w:w="1404"/>
        <w:gridCol w:w="2290"/>
      </w:tblGrid>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148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W w:w="51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Style w:val="1324"/>
                <w:rFonts w:hint="eastAsia" w:ascii="宋体" w:hAnsi="宋体" w:eastAsia="宋体" w:cs="宋体"/>
                <w:color w:val="000000"/>
                <w:sz w:val="24"/>
                <w:szCs w:val="24"/>
                <w:highlight w:val="none"/>
                <w:lang w:bidi="ar"/>
              </w:rPr>
              <w:t xml:space="preserve">面积（m</w:t>
            </w:r>
            <w:r>
              <w:rPr>
                <w:rStyle w:val="1325"/>
                <w:rFonts w:hint="eastAsia" w:ascii="宋体" w:hAnsi="宋体" w:eastAsia="宋体" w:cs="宋体"/>
                <w:color w:val="000000"/>
                <w:sz w:val="24"/>
                <w:szCs w:val="24"/>
                <w:highlight w:val="none"/>
                <w:lang w:bidi="ar"/>
              </w:rPr>
              <w:t xml:space="preserve">2</w:t>
            </w:r>
            <w:r>
              <w:rPr>
                <w:rStyle w:val="1324"/>
                <w:rFonts w:hint="eastAsia" w:ascii="宋体" w:hAnsi="宋体" w:eastAsia="宋体" w:cs="宋体"/>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w:t>
            </w:r>
            <w:r>
              <w:rPr>
                <w:rStyle w:val="1324"/>
                <w:rFonts w:hint="eastAsia" w:ascii="宋体" w:hAnsi="宋体" w:eastAsia="宋体" w:cs="宋体"/>
                <w:color w:val="000000"/>
                <w:sz w:val="24"/>
                <w:szCs w:val="24"/>
                <w:highlight w:val="none"/>
                <w:lang w:bidi="ar"/>
              </w:rPr>
              <w:t xml:space="preserve">m</w:t>
            </w:r>
            <w:r>
              <w:rPr>
                <w:rStyle w:val="1325"/>
                <w:rFonts w:hint="eastAsia" w:ascii="宋体" w:hAnsi="宋体" w:eastAsia="宋体" w:cs="宋体"/>
                <w:color w:val="000000"/>
                <w:sz w:val="24"/>
                <w:szCs w:val="24"/>
                <w:highlight w:val="none"/>
                <w:lang w:bidi="ar"/>
              </w:rPr>
              <w:t xml:space="preserve">2</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对窑村居民乐园</w:t>
            </w:r>
            <w:r>
              <w:rPr>
                <w:rFonts w:hint="eastAsia" w:ascii="宋体" w:hAnsi="宋体" w:eastAsia="宋体" w:cs="宋体"/>
                <w:color w:val="000000"/>
                <w:sz w:val="24"/>
                <w:szCs w:val="24"/>
                <w:highlight w:val="none"/>
                <w:lang w:bidi="ar"/>
              </w:rPr>
            </w:r>
            <w:r/>
          </w:p>
        </w:tc>
        <w:tc>
          <w:tcPr>
            <w:tcW w:w="51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2310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3.45</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7969.5</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吴家场农民乐园周边等</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12750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3.45</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43987.5</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企业服务投资中心</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63600</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颜塘公园</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23063</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122233.9</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八村北广场</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7092</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37587.6</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4S店</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10743</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37600.5</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顺翔路污水泵站</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1750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4S店合力叉车周边</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春江路垃圾中转站</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6650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机电产业园道路绿化</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101007</w:t>
            </w:r>
            <w:r>
              <w:rPr>
                <w:rFonts w:hint="eastAsia" w:ascii="宋体" w:hAnsi="宋体" w:eastAsia="宋体" w:cs="宋体"/>
                <w:color w:val="000000"/>
                <w:sz w:val="24"/>
                <w:szCs w:val="24"/>
                <w:highlight w:val="none"/>
                <w:lang w:val="en-US" w:eastAsia="zh-CN"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353524.5</w:t>
            </w: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吕墅老街及吕汤路北段</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16045</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56157.5</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镇区道路（庆阳路、凤翔路、奥园路、小公园）</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165366</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578781</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丽园路（奥园路-顺园路）东渡二期</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5900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20650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平阳路（玉龙路-锦园路）医院南门</w:t>
            </w:r>
            <w:r>
              <w:rPr>
                <w:rFonts w:hint="eastAsia" w:ascii="宋体" w:hAnsi="宋体" w:eastAsia="宋体" w:cs="宋体"/>
                <w:color w:val="000000"/>
                <w:sz w:val="24"/>
                <w:szCs w:val="24"/>
                <w:highlight w:val="none"/>
                <w:lang w:bidi="ar"/>
              </w:rPr>
            </w:r>
            <w:r/>
          </w:p>
        </w:tc>
        <w:tc>
          <w:tcPr>
            <w:tcW w:w="51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766</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2681</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瀛平路（玉龙路-瀛平桥）医院北门</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1460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5110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丽园路工商所周边</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顺园路天逸城外围</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8650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30275</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春江路樱花慢行道</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5638</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19733</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区镇绿化交接处及其他无人管护区域</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7000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五座桥、庆阳路草花、顺园路、薛冶路桥东侧绿化带</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23200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凤凰湖西苑凤凰花园周边</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12800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44800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顺园八村2期汽车站东围墙</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顺园八村2期围墙外</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1370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4795</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薛冶路(黄河路-汉江路)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5250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18375</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顺园路(正强路-龙城大道)</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4550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汉江路(玉龙路-薛冶路)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52500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凤翔路（黄河路-汉江路）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17500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勤奋路（河海路-北漕河路）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17500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tabs>
                <w:tab w:val="left" w:pos="42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w:t>
            </w:r>
            <w:r>
              <w:rPr>
                <w:rFonts w:hint="eastAsia" w:ascii="宋体" w:hAnsi="宋体" w:eastAsia="宋体" w:cs="宋体"/>
                <w:color w:val="000000"/>
                <w:sz w:val="24"/>
                <w:szCs w:val="24"/>
                <w:highlight w:val="none"/>
                <w:lang w:val="en-US" w:eastAsia="zh-CN"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临平路(济业路-丽园路)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3778</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3.5</w:t>
            </w:r>
            <w:r>
              <w:rPr>
                <w:rFonts w:hint="eastAsia" w:ascii="宋体" w:hAnsi="宋体" w:eastAsia="宋体" w:cs="宋体"/>
                <w:color w:val="000000"/>
                <w:sz w:val="24"/>
                <w:szCs w:val="24"/>
                <w:highlight w:val="none"/>
                <w:lang w:val="en-US" w:eastAsia="zh-CN"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13223</w:t>
            </w: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val="en-US" w:eastAsia="zh-CN"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吕墅二路(博怕路-汉江路)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11440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3.5</w:t>
            </w:r>
            <w:r>
              <w:rPr>
                <w:rFonts w:hint="eastAsia" w:ascii="宋体" w:hAnsi="宋体" w:eastAsia="宋体" w:cs="宋体"/>
                <w:color w:val="000000"/>
                <w:sz w:val="24"/>
                <w:szCs w:val="24"/>
                <w:highlight w:val="none"/>
                <w:lang w:val="en-US" w:eastAsia="zh-CN"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40040</w:t>
            </w: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gridSpan w:val="2"/>
            <w:tcW w:w="348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440728</w:t>
            </w:r>
            <w:r>
              <w:rPr>
                <w:rFonts w:hint="eastAsia" w:ascii="宋体" w:hAnsi="宋体" w:eastAsia="宋体" w:cs="宋体"/>
                <w:color w:val="000000"/>
                <w:sz w:val="24"/>
                <w:szCs w:val="24"/>
                <w:highlight w:val="none"/>
                <w:lang w:val="en-US" w:eastAsia="zh-CN" w:bidi="ar"/>
              </w:rPr>
            </w:r>
            <w:r/>
          </w:p>
        </w:tc>
        <w:tc>
          <w:tcPr>
            <w:tcW w:w="623"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1640874</w:t>
            </w: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4.外围绿化养护清单及最高限价</w:t>
      </w:r>
      <w:r>
        <w:rPr>
          <w:rFonts w:hint="eastAsia" w:ascii="宋体" w:hAnsi="宋体" w:eastAsia="宋体" w:cs="宋体"/>
          <w:b/>
          <w:bCs/>
          <w:color w:val="000000"/>
          <w:sz w:val="24"/>
          <w:szCs w:val="24"/>
          <w:highlight w:val="none"/>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050"/>
        <w:gridCol w:w="1241"/>
        <w:gridCol w:w="1252"/>
        <w:gridCol w:w="1475"/>
        <w:gridCol w:w="1560"/>
      </w:tblGrid>
      <w:tr>
        <w:trPr>
          <w:trHeight w:val="30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Style w:val="1324"/>
                <w:rFonts w:hint="eastAsia" w:ascii="宋体" w:hAnsi="宋体" w:eastAsia="宋体" w:cs="宋体"/>
                <w:color w:val="000000"/>
                <w:sz w:val="24"/>
                <w:szCs w:val="24"/>
                <w:highlight w:val="none"/>
                <w:lang w:bidi="ar"/>
              </w:rPr>
              <w:t xml:space="preserve">面积（m</w:t>
            </w:r>
            <w:r>
              <w:rPr>
                <w:rStyle w:val="1325"/>
                <w:rFonts w:hint="eastAsia" w:ascii="宋体" w:hAnsi="宋体" w:eastAsia="宋体" w:cs="宋体"/>
                <w:color w:val="000000"/>
                <w:sz w:val="24"/>
                <w:szCs w:val="24"/>
                <w:highlight w:val="none"/>
                <w:lang w:bidi="ar"/>
              </w:rPr>
              <w:t xml:space="preserve">2</w:t>
            </w:r>
            <w:r>
              <w:rPr>
                <w:rStyle w:val="1324"/>
                <w:rFonts w:hint="eastAsia" w:ascii="宋体" w:hAnsi="宋体" w:eastAsia="宋体" w:cs="宋体"/>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w:t>
            </w:r>
            <w:r>
              <w:rPr>
                <w:rStyle w:val="1324"/>
                <w:rFonts w:hint="eastAsia" w:ascii="宋体" w:hAnsi="宋体" w:eastAsia="宋体" w:cs="宋体"/>
                <w:color w:val="000000"/>
                <w:sz w:val="24"/>
                <w:szCs w:val="24"/>
                <w:highlight w:val="none"/>
                <w:lang w:bidi="ar"/>
              </w:rPr>
              <w:t xml:space="preserve">m</w:t>
            </w:r>
            <w:r>
              <w:rPr>
                <w:rStyle w:val="1325"/>
                <w:rFonts w:hint="eastAsia" w:ascii="宋体" w:hAnsi="宋体" w:eastAsia="宋体" w:cs="宋体"/>
                <w:color w:val="000000"/>
                <w:sz w:val="24"/>
                <w:szCs w:val="24"/>
                <w:highlight w:val="none"/>
                <w:lang w:bidi="ar"/>
              </w:rPr>
              <w:t xml:space="preserve">2</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雁荡河水利风景区</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233200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49"/>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中心公园廉政广场草坪</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7500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39750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四季常青(包含草籽)</w:t>
            </w:r>
            <w:r>
              <w:rPr>
                <w:rFonts w:hint="eastAsia" w:ascii="宋体" w:hAnsi="宋体" w:eastAsia="宋体" w:cs="宋体"/>
                <w:color w:val="000000"/>
                <w:sz w:val="24"/>
                <w:szCs w:val="24"/>
                <w:highlight w:val="none"/>
                <w:lang w:val="en-US" w:eastAsia="zh-CN"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中心广场绿化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44858</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237747.4</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北漕河路新增道路绿化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6300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38"/>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建业路新增道路绿化（薛冶路西、北漕河路中间以南-河海路）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南漕河路新增道路绿化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13200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瀛平路新增道路绿化（建业路-春江路）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9450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28350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新晨路新增道路绿化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3300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129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镇区工业园区道路绿化苗圃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170301</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204361.2</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新龙河泵站苗圃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16667</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25000.5</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8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龙江高架东-科勒路北侧苗圃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882"/>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龙江路高架东-科勒路南侧苗圃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72369.5</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108554.25</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8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滨河绿地苗圃（叶家苗圃）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凤凰湖壹号东侧地块绿化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四季常青(包含草籽)</w:t>
            </w: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河道绿化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90000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区镇交接处、部分企业门前及无人养护区域</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河海路与建业路东北侧苗圃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4624</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13872</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龙江路与龙城大道苗圃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玉龙路与龙城大道苗圃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39000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富康路支路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10800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丽园路（薛冶路-春江路）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54000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春江路（瀛平路-丽园路）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悠活城（顺园路西）</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8400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汉江路慢行道（一期）</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45000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凤翔路改造</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7838</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23514</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26</w:t>
            </w:r>
            <w:r>
              <w:rPr>
                <w:rFonts w:hint="eastAsia" w:ascii="宋体" w:hAnsi="宋体" w:eastAsia="宋体" w:cs="宋体"/>
                <w:color w:val="000000"/>
                <w:sz w:val="24"/>
                <w:szCs w:val="24"/>
                <w:highlight w:val="none"/>
                <w:lang w:val="en-US" w:eastAsia="zh-CN"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顺园路(正强路-汉江路)</w:t>
            </w:r>
            <w:r>
              <w:rPr>
                <w:rFonts w:hint="eastAsia" w:ascii="宋体" w:hAnsi="宋体" w:eastAsia="宋体" w:cs="宋体"/>
                <w:color w:val="000000"/>
                <w:sz w:val="24"/>
                <w:szCs w:val="24"/>
                <w:highlight w:val="none"/>
                <w:lang w:val="en-US" w:eastAsia="zh-CN"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37560</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112680</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897"/>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w:t>
            </w:r>
            <w:r>
              <w:rPr>
                <w:rFonts w:hint="eastAsia" w:ascii="宋体" w:hAnsi="宋体" w:eastAsia="宋体" w:cs="宋体"/>
                <w:color w:val="000000"/>
                <w:sz w:val="24"/>
                <w:szCs w:val="24"/>
                <w:highlight w:val="none"/>
                <w:lang w:val="en-US" w:eastAsia="zh-CN"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童子河南段，北童子河，建业河</w:t>
            </w:r>
            <w:r>
              <w:rPr>
                <w:rFonts w:hint="eastAsia" w:ascii="宋体" w:hAnsi="宋体" w:eastAsia="宋体" w:cs="宋体"/>
                <w:color w:val="000000"/>
                <w:sz w:val="24"/>
                <w:szCs w:val="24"/>
                <w:highlight w:val="none"/>
                <w:lang w:val="en-US" w:eastAsia="zh-CN"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14447</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21670.5</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270"/>
        </w:trPr>
        <w:tc>
          <w:tcPr>
            <w:tcW w:w="379" w:type="dxa"/>
            <w:vAlign w:val="top"/>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594614.5</w:t>
            </w:r>
            <w:r>
              <w:rPr>
                <w:rFonts w:hint="eastAsia" w:ascii="宋体" w:hAnsi="宋体" w:eastAsia="宋体" w:cs="宋体"/>
                <w:color w:val="000000"/>
                <w:sz w:val="24"/>
                <w:szCs w:val="24"/>
                <w:highlight w:val="none"/>
                <w:lang w:val="en-US" w:eastAsia="zh-CN"/>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1387699.85</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5.城际铁路和沪宁高速沿线清单及最高限价</w:t>
      </w:r>
      <w:r>
        <w:rPr>
          <w:rFonts w:hint="eastAsia" w:ascii="宋体" w:hAnsi="宋体" w:eastAsia="宋体" w:cs="宋体"/>
          <w:b/>
          <w:bCs/>
          <w:color w:val="000000"/>
          <w:sz w:val="24"/>
          <w:szCs w:val="24"/>
          <w:highlight w:val="none"/>
          <w:lang w:val="en-US" w:eastAsia="zh-CN"/>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14"/>
        <w:gridCol w:w="2862"/>
        <w:gridCol w:w="859"/>
        <w:gridCol w:w="1159"/>
        <w:gridCol w:w="1404"/>
        <w:gridCol w:w="2290"/>
      </w:tblGrid>
      <w:tr>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面积（亩）</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val="en-US" w:eastAsia="zh-CN" w:bidi="ar"/>
              </w:rPr>
              <w:t xml:space="preserve">元/亩/年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城际铁路和沪宁高速沿线</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949.2</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800</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759360</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c>
      </w:tr>
    </w:tbl>
    <w:p>
      <w:pPr>
        <w:pStyle w:val="1068"/>
        <w:ind w:firstLine="482"/>
        <w:keepLines w:val="0"/>
        <w:keepNext w:val="0"/>
        <w:pageBreakBefore w:val="0"/>
        <w:spacing w:before="464"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二、作业人员要求</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1.作业人员最低配备要求（提供承诺函，未提供视为无效响应）</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清扫保洁</w:t>
      </w:r>
      <w:r>
        <w:rPr>
          <w:rFonts w:hint="eastAsia" w:ascii="宋体" w:hAnsi="宋体" w:eastAsia="宋体" w:cs="宋体"/>
          <w:b/>
          <w:color w:val="000000"/>
          <w:sz w:val="24"/>
          <w:szCs w:val="24"/>
          <w:highlight w:val="none"/>
        </w:rPr>
        <w:t xml:space="preserve">劳动力数量配备最低要求列表</w:t>
      </w:r>
      <w:r>
        <w:rPr>
          <w:rFonts w:hint="eastAsia" w:ascii="宋体" w:hAnsi="宋体" w:eastAsia="宋体" w:cs="宋体"/>
          <w:b/>
          <w:color w:val="000000"/>
          <w:sz w:val="24"/>
          <w:szCs w:val="24"/>
          <w:highlight w:val="none"/>
        </w:rPr>
      </w:r>
      <w:r/>
    </w:p>
    <w:tbl>
      <w:tblPr>
        <w:tblStyle w:val="113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5120"/>
        <w:gridCol w:w="3097"/>
      </w:tblGrid>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eastAsia="宋体"/>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序号</w:t>
            </w:r>
            <w:r>
              <w:rPr>
                <w:rFonts w:hint="eastAsia" w:eastAsia="宋体"/>
                <w:b/>
                <w:bCs/>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eastAsia="宋体"/>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岗位</w:t>
            </w:r>
            <w:r>
              <w:rPr>
                <w:rFonts w:eastAsia="宋体"/>
                <w:b/>
                <w:bCs/>
                <w:color w:val="000000"/>
                <w:sz w:val="24"/>
                <w:szCs w:val="24"/>
                <w:highlight w:val="none"/>
                <w:vertAlign w:val="baseli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b/>
                <w:bCs/>
                <w:color w:val="000000"/>
                <w:sz w:val="24"/>
                <w:szCs w:val="24"/>
                <w:highlight w:val="none"/>
                <w:vertAlign w:val="baseline"/>
              </w:rPr>
            </w:pPr>
            <w:r>
              <w:rPr>
                <w:rFonts w:hint="eastAsia"/>
                <w:b/>
                <w:bCs/>
                <w:color w:val="000000"/>
                <w:sz w:val="24"/>
                <w:szCs w:val="24"/>
                <w:highlight w:val="none"/>
                <w:vertAlign w:val="baseline"/>
                <w:lang w:val="en-US" w:eastAsia="zh-CN"/>
              </w:rPr>
              <w:t xml:space="preserve">人数</w:t>
            </w:r>
            <w:r>
              <w:rPr>
                <w:b/>
                <w:bCs/>
                <w:color w:val="000000"/>
                <w:sz w:val="24"/>
                <w:szCs w:val="24"/>
                <w:highlight w:val="none"/>
                <w:vertAlign w:val="baseline"/>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eastAsia="宋体"/>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1</w:t>
            </w:r>
            <w:r>
              <w:rPr>
                <w:rFonts w:hint="eastAsia" w:eastAsia="宋体"/>
                <w:b/>
                <w:bCs/>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b/>
                <w:bCs/>
                <w:color w:val="000000"/>
                <w:sz w:val="24"/>
                <w:szCs w:val="24"/>
                <w:highlight w:val="none"/>
                <w:vertAlign w:val="baseline"/>
              </w:rPr>
            </w:pPr>
            <w:r>
              <w:rPr>
                <w:rFonts w:hint="eastAsia" w:ascii="宋体" w:hAnsi="宋体" w:eastAsia="宋体" w:cs="宋体"/>
                <w:b/>
                <w:bCs/>
                <w:color w:val="000000"/>
                <w:sz w:val="24"/>
                <w:szCs w:val="24"/>
                <w:highlight w:val="none"/>
                <w:lang w:val="en-US" w:eastAsia="zh-CN"/>
              </w:rPr>
              <w:t xml:space="preserve">管理人员</w:t>
            </w:r>
            <w:r>
              <w:rPr>
                <w:b/>
                <w:bCs/>
                <w:color w:val="000000"/>
                <w:sz w:val="24"/>
                <w:szCs w:val="24"/>
                <w:highlight w:val="none"/>
                <w:vertAlign w:val="baseline"/>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eastAsia="宋体"/>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4</w:t>
            </w:r>
            <w:r>
              <w:rPr>
                <w:rFonts w:hint="eastAsia" w:eastAsia="宋体"/>
                <w:b/>
                <w:bCs/>
                <w:color w:val="000000"/>
                <w:sz w:val="24"/>
                <w:szCs w:val="24"/>
                <w:highlight w:val="none"/>
                <w:vertAlign w:val="baseli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1.1</w:t>
            </w:r>
            <w:r>
              <w:rPr>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环卫作业负责人</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w:t>
            </w:r>
            <w:r>
              <w:rPr>
                <w:color w:val="000000"/>
                <w:sz w:val="24"/>
                <w:szCs w:val="24"/>
                <w:highlight w:val="none"/>
                <w:vertAlign w:val="baseli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eastAsia="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1.2</w:t>
            </w:r>
            <w:r>
              <w:rPr>
                <w:rFonts w:eastAsia="宋体"/>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绿化养护项目负责人</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eastAsia="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w:t>
            </w:r>
            <w:r>
              <w:rPr>
                <w:rFonts w:hint="eastAsia" w:eastAsia="宋体"/>
                <w:color w:val="000000"/>
                <w:sz w:val="24"/>
                <w:szCs w:val="24"/>
                <w:highlight w:val="none"/>
                <w:vertAlign w:val="baseli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1.3</w:t>
            </w:r>
            <w:r>
              <w:rPr>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安全督查监管人员</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2</w:t>
            </w:r>
            <w:r>
              <w:rPr>
                <w:color w:val="000000"/>
                <w:sz w:val="24"/>
                <w:szCs w:val="24"/>
                <w:highlight w:val="none"/>
                <w:vertAlign w:val="baseli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eastAsia="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2</w:t>
            </w:r>
            <w:r>
              <w:rPr>
                <w:rFonts w:hint="eastAsia" w:eastAsia="宋体"/>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绿化作业人员</w:t>
            </w:r>
            <w:r>
              <w:rPr>
                <w:rFonts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eastAsia="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40</w:t>
            </w:r>
            <w:r>
              <w:rPr>
                <w:rFonts w:eastAsia="宋体"/>
                <w:color w:val="000000"/>
                <w:sz w:val="24"/>
                <w:szCs w:val="24"/>
                <w:highlight w:val="none"/>
                <w:vertAlign w:val="baseli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Times New Roman"/>
                <w:color w:val="000000"/>
                <w:sz w:val="24"/>
                <w:szCs w:val="24"/>
                <w:highlight w:val="none"/>
                <w:vertAlign w:val="baseline"/>
                <w:lang w:val="en-US" w:eastAsia="zh-CN" w:bidi="ar-SA"/>
              </w:rPr>
            </w:pPr>
            <w:r>
              <w:rPr>
                <w:rFonts w:hint="eastAsia"/>
                <w:color w:val="000000"/>
                <w:sz w:val="24"/>
                <w:szCs w:val="24"/>
                <w:highlight w:val="none"/>
                <w:vertAlign w:val="baseline"/>
                <w:lang w:val="en-US" w:eastAsia="zh-CN"/>
              </w:rPr>
              <w:t xml:space="preserve">3</w:t>
            </w:r>
            <w:r>
              <w:rPr>
                <w:rFonts w:hint="eastAsia" w:ascii="宋体" w:hAnsi="宋体" w:eastAsia="宋体" w:cs="Times New Roman"/>
                <w:color w:val="000000"/>
                <w:sz w:val="24"/>
                <w:szCs w:val="24"/>
                <w:highlight w:val="none"/>
                <w:vertAlign w:val="baseline"/>
                <w:lang w:val="en-US" w:eastAsia="zh-CN" w:bidi="ar-SA"/>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班组长</w:t>
            </w:r>
            <w:r>
              <w:rPr>
                <w:color w:val="000000"/>
                <w:sz w:val="24"/>
                <w:szCs w:val="24"/>
                <w:highlight w:val="none"/>
                <w:vertAlign w:val="baseline"/>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6</w:t>
            </w:r>
            <w:r>
              <w:rPr>
                <w:color w:val="000000"/>
                <w:sz w:val="24"/>
                <w:szCs w:val="24"/>
                <w:highlight w:val="none"/>
                <w:vertAlign w:val="baseline"/>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Times New Roman"/>
                <w:color w:val="000000"/>
                <w:sz w:val="24"/>
                <w:szCs w:val="24"/>
                <w:highlight w:val="none"/>
                <w:vertAlign w:val="baseline"/>
                <w:lang w:val="en-US" w:eastAsia="zh-CN" w:bidi="ar-SA"/>
              </w:rPr>
            </w:pPr>
            <w:r>
              <w:rPr>
                <w:rFonts w:hint="eastAsia"/>
                <w:color w:val="000000"/>
                <w:sz w:val="24"/>
                <w:szCs w:val="24"/>
                <w:highlight w:val="none"/>
                <w:vertAlign w:val="baseline"/>
                <w:lang w:val="en-US" w:eastAsia="zh-CN"/>
              </w:rPr>
              <w:t xml:space="preserve">4</w:t>
            </w:r>
            <w:r>
              <w:rPr>
                <w:rFonts w:hint="eastAsia" w:ascii="宋体" w:hAnsi="宋体" w:eastAsia="宋体" w:cs="Times New Roman"/>
                <w:color w:val="000000"/>
                <w:sz w:val="24"/>
                <w:szCs w:val="24"/>
                <w:highlight w:val="none"/>
                <w:vertAlign w:val="baseline"/>
                <w:lang w:val="en-US" w:eastAsia="zh-CN" w:bidi="ar-SA"/>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驾驶员</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Times New Roman"/>
                <w:color w:val="000000"/>
                <w:sz w:val="24"/>
                <w:szCs w:val="24"/>
                <w:highlight w:val="none"/>
                <w:vertAlign w:val="baseline"/>
                <w:lang w:val="en-US" w:eastAsia="zh-CN" w:bidi="ar-SA"/>
              </w:rPr>
            </w:pPr>
            <w:r>
              <w:rPr>
                <w:rFonts w:hint="eastAsia"/>
                <w:color w:val="000000"/>
                <w:sz w:val="24"/>
                <w:szCs w:val="24"/>
                <w:highlight w:val="none"/>
                <w:vertAlign w:val="baseline"/>
                <w:lang w:val="en-US" w:eastAsia="zh-CN"/>
              </w:rPr>
              <w:t xml:space="preserve">5</w:t>
            </w:r>
            <w:r>
              <w:rPr>
                <w:rFonts w:hint="eastAsia" w:ascii="宋体" w:hAnsi="宋体" w:eastAsia="宋体" w:cs="Times New Roman"/>
                <w:color w:val="000000"/>
                <w:sz w:val="24"/>
                <w:szCs w:val="24"/>
                <w:highlight w:val="none"/>
                <w:vertAlign w:val="baseline"/>
                <w:lang w:val="en-US" w:eastAsia="zh-CN" w:bidi="ar-SA"/>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道路保洁员</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w:t>
            </w:r>
            <w:r>
              <w:rPr>
                <w:rFonts w:hint="eastAsia" w:ascii="宋体" w:hAnsi="宋体" w:eastAsia="宋体" w:cs="宋体"/>
                <w:color w:val="000000"/>
                <w:sz w:val="24"/>
                <w:szCs w:val="24"/>
                <w:highlight w:val="no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Times New Roman"/>
                <w:color w:val="000000"/>
                <w:sz w:val="24"/>
                <w:szCs w:val="24"/>
                <w:highlight w:val="none"/>
                <w:vertAlign w:val="baseline"/>
                <w:lang w:val="en-US" w:eastAsia="zh-CN" w:bidi="ar-SA"/>
              </w:rPr>
            </w:pPr>
            <w:r>
              <w:rPr>
                <w:rFonts w:hint="eastAsia"/>
                <w:color w:val="000000"/>
                <w:sz w:val="24"/>
                <w:szCs w:val="24"/>
                <w:highlight w:val="none"/>
                <w:vertAlign w:val="baseline"/>
                <w:lang w:val="en-US" w:eastAsia="zh-CN"/>
              </w:rPr>
              <w:t xml:space="preserve">6</w:t>
            </w:r>
            <w:r>
              <w:rPr>
                <w:rFonts w:hint="eastAsia" w:ascii="宋体" w:hAnsi="宋体" w:eastAsia="宋体" w:cs="Times New Roman"/>
                <w:color w:val="000000"/>
                <w:sz w:val="24"/>
                <w:szCs w:val="24"/>
                <w:highlight w:val="none"/>
                <w:vertAlign w:val="baseline"/>
                <w:lang w:val="en-US" w:eastAsia="zh-CN" w:bidi="ar-SA"/>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道板冲洗工</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Times New Roman"/>
                <w:color w:val="000000"/>
                <w:sz w:val="24"/>
                <w:szCs w:val="24"/>
                <w:highlight w:val="none"/>
                <w:vertAlign w:val="baseline"/>
                <w:lang w:val="en-US" w:eastAsia="zh-CN" w:bidi="ar-SA"/>
              </w:rPr>
            </w:pPr>
            <w:r>
              <w:rPr>
                <w:rFonts w:hint="eastAsia"/>
                <w:color w:val="000000"/>
                <w:sz w:val="24"/>
                <w:szCs w:val="24"/>
                <w:highlight w:val="none"/>
                <w:vertAlign w:val="baseline"/>
                <w:lang w:val="en-US" w:eastAsia="zh-CN"/>
              </w:rPr>
              <w:t xml:space="preserve">7</w:t>
            </w:r>
            <w:r>
              <w:rPr>
                <w:rFonts w:hint="eastAsia" w:ascii="宋体" w:hAnsi="宋体" w:eastAsia="宋体" w:cs="Times New Roman"/>
                <w:color w:val="000000"/>
                <w:sz w:val="24"/>
                <w:szCs w:val="24"/>
                <w:highlight w:val="none"/>
                <w:vertAlign w:val="baseline"/>
                <w:lang w:val="en-US" w:eastAsia="zh-CN" w:bidi="ar-SA"/>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垃圾收运人员</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eastAsia="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8</w:t>
            </w:r>
            <w:r>
              <w:rPr>
                <w:rFonts w:eastAsia="宋体"/>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公厕保洁员</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color w:val="000000"/>
                <w:sz w:val="24"/>
                <w:szCs w:val="24"/>
                <w:highlight w:val="none"/>
                <w:vertAlign w:val="baseline"/>
                <w:lang w:val="en-US" w:eastAsia="zh-CN"/>
              </w:rPr>
            </w:pPr>
            <w:r>
              <w:rPr>
                <w:rFonts w:hint="eastAsia"/>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ascii="宋体" w:hAnsi="宋体" w:eastAsia="宋体" w:cs="宋体"/>
                <w:color w:val="000000"/>
                <w:sz w:val="24"/>
                <w:szCs w:val="24"/>
                <w:highlight w:val="none"/>
                <w:lang w:val="en-US" w:eastAsia="zh-CN"/>
              </w:rPr>
            </w:pPr>
            <w:r>
              <w:rPr>
                <w:rFonts w:hint="eastAsia" w:cs="宋体"/>
                <w:color w:val="000000"/>
                <w:sz w:val="24"/>
                <w:szCs w:val="24"/>
                <w:highlight w:val="none"/>
                <w:lang w:val="en-US" w:eastAsia="zh-CN"/>
              </w:rPr>
              <w:t xml:space="preserve">合计</w:t>
            </w:r>
            <w:r>
              <w:rPr>
                <w:rFonts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188</w:t>
            </w:r>
            <w:r>
              <w:rPr>
                <w:rFonts w:ascii="宋体" w:hAnsi="宋体" w:eastAsia="宋体" w:cs="宋体"/>
                <w:color w:val="000000"/>
                <w:sz w:val="24"/>
                <w:szCs w:val="24"/>
                <w:highlight w:val="none"/>
                <w:lang w:val="en-US" w:eastAsia="zh-CN"/>
              </w:rPr>
            </w:r>
            <w:r/>
          </w:p>
        </w:tc>
      </w:tr>
    </w:tbl>
    <w:p>
      <w:pPr>
        <w:pStyle w:val="1068"/>
        <w:ind w:firstLine="482"/>
        <w:keepLines w:val="0"/>
        <w:keepNext w:val="0"/>
        <w:pageBreakBefore w:val="0"/>
        <w:spacing w:before="233"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2.保险要求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投标人应充分评估本项目的风险，并购买作业服务过程中所需的保险，保证保险的有效期自本合同生效之日起至结束为止。保险包括但不限于：</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1.投标人必须按规定为员工购买社会保险，并为作业服务人员购买人身意外伤亡保险，每年需为作业服务人员进行体检一次。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2.投标人须向采购人提供有效的保险单据和保险合同。</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三、环卫保洁作业要求</w:t>
      </w:r>
      <w:r>
        <w:rPr>
          <w:rFonts w:hint="eastAsia" w:ascii="宋体" w:hAnsi="宋体" w:eastAsia="宋体" w:cs="宋体"/>
          <w:b/>
          <w:bCs/>
          <w:color w:val="000000"/>
          <w:sz w:val="24"/>
          <w:szCs w:val="24"/>
          <w:highlight w:val="none"/>
          <w:lang w:val="en-US" w:eastAsia="zh-CN"/>
        </w:rPr>
      </w:r>
      <w:r/>
    </w:p>
    <w:p>
      <w:pPr>
        <w:pStyle w:val="1068"/>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rPr>
        <w:t xml:space="preserve">服务内容</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根据道路清扫保洁和作业质量要求，按照常州市道路清扫保洁一体化的标准，对道路快、慢车道和人行道进行清扫、清洗、保洁；对依附于道路的绿化带进行保洁(包括但不限于绿化带内垃圾的清理),每周对道路沿线绿化带进行全面专项清理作业。</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1.2按新北区环管中心划定的道路等级，对委托范围内的道路按标准进行日常机械化酒水、冲洗、清洗等作业。</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1.3按照常城管【2022】40号关于印发《常州市城市道路临街果壳箱规范设置工作方案》的通知规定，负责道路两侧垃圾箱(房)、果壳箱和无主垃圾、偷盗垃圾的及时清理。</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1.4全镇区域内的乱涂写、乱张贴的清理工作。</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1.5全镇范围内公厕的清扫(清洗)、保洁。</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1.6遇有重大活动、灾害性雨雪天气等特殊情况，组织员工按照应急预案和上级部门要求，做好保障工作。</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1.7投标人需配备不少于以下数量的应急队伍：洒水车1辆，员工5名。投标人接到采购人应急处置通知后30分钟内，需安排应急队伍到现场参与处置。</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rPr>
        <w:t xml:space="preserve">作业时间要求</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2.1机械化作业时间要求：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2.1.1薛家镇市级考评道路按《常州市城市环卫作业服务要求》文件规定执行。</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2.1.2镇级道路机械化作业标准为一周五次。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2.1.3机械化清扫保洁道路作业，要求每班次一清扫一保洁。</w:t>
      </w:r>
      <w:r>
        <w:rPr>
          <w:rFonts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color w:val="000000"/>
          <w:highlight w:val="none"/>
          <w:lang w:eastAsia="zh-CN"/>
        </w:rPr>
      </w:pPr>
      <w:r>
        <w:rPr>
          <w:rFonts w:hint="eastAsia" w:ascii="宋体" w:hAnsi="宋体" w:eastAsia="宋体" w:cs="宋体"/>
          <w:color w:val="000000"/>
          <w:sz w:val="24"/>
          <w:szCs w:val="24"/>
          <w:highlight w:val="none"/>
          <w:lang w:val="en-US" w:eastAsia="zh-CN"/>
        </w:rPr>
        <w:t xml:space="preserve">2.2环卫人工保洁作业时间要求：</w:t>
      </w:r>
      <w:r>
        <w:rPr>
          <w:rFonts w:hint="eastAsia"/>
          <w:color w:val="000000"/>
          <w:highlight w:val="none"/>
          <w:lang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7"/>
        <w:gridCol w:w="2253"/>
        <w:gridCol w:w="3032"/>
        <w:gridCol w:w="2560"/>
      </w:tblGrid>
      <w:tr>
        <w:trPr>
          <w:trHeight w:val="516"/>
        </w:trPr>
        <w:tc>
          <w:tcPr>
            <w:tcW w:w="774"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道路等级</w:t>
            </w: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道路分类</w:t>
            </w:r>
            <w:r>
              <w:rPr>
                <w:rFonts w:hint="eastAsia" w:ascii="宋体" w:hAnsi="宋体" w:eastAsia="宋体" w:cs="宋体"/>
                <w:color w:val="000000"/>
                <w:sz w:val="24"/>
                <w:szCs w:val="24"/>
                <w:highlight w:val="none"/>
              </w:rPr>
            </w:r>
            <w:r/>
          </w:p>
        </w:tc>
        <w:tc>
          <w:tcPr>
            <w:tcW w:w="163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具体作业时间</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作业方式</w:t>
            </w:r>
            <w:r>
              <w:rPr>
                <w:rFonts w:hint="eastAsia" w:ascii="宋体" w:hAnsi="宋体" w:eastAsia="宋体" w:cs="宋体"/>
                <w:color w:val="000000"/>
                <w:sz w:val="24"/>
                <w:szCs w:val="24"/>
                <w:highlight w:val="none"/>
              </w:rPr>
            </w:r>
            <w:r/>
          </w:p>
        </w:tc>
      </w:tr>
      <w:tr>
        <w:trPr>
          <w:trHeight w:val="451"/>
        </w:trPr>
        <w:tc>
          <w:tcPr>
            <w:tcW w:w="774"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镇级</w:t>
            </w:r>
            <w:r>
              <w:rPr>
                <w:rFonts w:hint="eastAsia" w:ascii="宋体" w:hAnsi="宋体" w:eastAsia="宋体" w:cs="宋体"/>
                <w:color w:val="000000"/>
                <w:sz w:val="24"/>
                <w:szCs w:val="24"/>
                <w:highlight w:val="none"/>
                <w:lang w:eastAsia="zh-CN"/>
              </w:rPr>
            </w:r>
            <w:r/>
          </w:p>
        </w:tc>
        <w:tc>
          <w:tcPr>
            <w:tcW w:w="1213"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八小时保洁的主、次干道</w:t>
            </w:r>
            <w:r>
              <w:rPr>
                <w:rFonts w:hint="eastAsia" w:ascii="宋体" w:hAnsi="宋体" w:eastAsia="宋体" w:cs="宋体"/>
                <w:color w:val="000000"/>
                <w:sz w:val="24"/>
                <w:szCs w:val="24"/>
                <w:highlight w:val="none"/>
              </w:rPr>
            </w:r>
            <w:r/>
          </w:p>
        </w:tc>
        <w:tc>
          <w:tcPr>
            <w:tcW w:w="163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早晨6：</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W w:w="1378"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全面清扫</w:t>
            </w:r>
            <w:r>
              <w:rPr>
                <w:rFonts w:hint="eastAsia" w:ascii="宋体" w:hAnsi="宋体" w:eastAsia="宋体" w:cs="宋体"/>
                <w:color w:val="000000"/>
                <w:sz w:val="24"/>
                <w:szCs w:val="24"/>
                <w:highlight w:val="none"/>
              </w:rPr>
            </w:r>
            <w:r/>
          </w:p>
        </w:tc>
      </w:tr>
      <w:tr>
        <w:trPr>
          <w:trHeight w:val="451"/>
        </w:trPr>
        <w:tc>
          <w:tcPr>
            <w:tcW w:w="774" w:type="dxa"/>
            <w:vAlign w:val="center"/>
            <w:vMerge w:val="continue"/>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3" w:type="dxa"/>
            <w:vAlign w:val="center"/>
            <w:vMerge w:val="continue"/>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下午13：00－14：00</w:t>
            </w:r>
            <w:r>
              <w:rPr>
                <w:rFonts w:hint="eastAsia" w:ascii="宋体" w:hAnsi="宋体" w:eastAsia="宋体" w:cs="宋体"/>
                <w:color w:val="000000"/>
                <w:sz w:val="24"/>
                <w:szCs w:val="24"/>
                <w:highlight w:val="none"/>
              </w:rPr>
            </w:r>
            <w:r/>
          </w:p>
        </w:tc>
        <w:tc>
          <w:tcPr>
            <w:tcW w:w="1378" w:type="dxa"/>
            <w:vAlign w:val="center"/>
            <w:vMerge w:val="continue"/>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74" w:type="dxa"/>
            <w:vAlign w:val="center"/>
            <w:vMerge w:val="continue"/>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3" w:type="dxa"/>
            <w:vAlign w:val="center"/>
            <w:vMerge w:val="continue"/>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6：30－10：30</w:t>
            </w:r>
            <w:r>
              <w:rPr>
                <w:rFonts w:hint="eastAsia" w:ascii="宋体" w:hAnsi="宋体" w:eastAsia="宋体" w:cs="宋体"/>
                <w:color w:val="000000"/>
                <w:sz w:val="24"/>
                <w:szCs w:val="24"/>
                <w:highlight w:val="none"/>
              </w:rPr>
            </w:r>
            <w:r/>
          </w:p>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时段内巡回保洁</w:t>
            </w:r>
            <w:r>
              <w:rPr>
                <w:rFonts w:hint="eastAsia" w:ascii="宋体" w:hAnsi="宋体" w:eastAsia="宋体" w:cs="宋体"/>
                <w:color w:val="000000"/>
                <w:sz w:val="24"/>
                <w:szCs w:val="24"/>
                <w:highlight w:val="none"/>
              </w:rPr>
            </w:r>
            <w:r/>
          </w:p>
        </w:tc>
      </w:tr>
    </w:tbl>
    <w:p>
      <w:pPr>
        <w:pStyle w:val="1068"/>
        <w:ind w:firstLine="480"/>
        <w:keepLines w:val="0"/>
        <w:keepNext w:val="0"/>
        <w:pageBreakBefore w:val="0"/>
        <w:spacing w:before="233"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2.2.1遇重大检查时作业方式按采购人的要求执行。</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2.2.2高温作业时间由采购人人员另行通知。</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2.2.3巡回保洁时段内人员作业时不得离岗倾倒或拖运垃圾，否则视为脱岗。</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2.2.4夏季、冬季经区环管中心同意临时调整，并组建应急队伍进行应急作业。</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2.3环卫设施开放时间</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公厕每日开放时间：6:00-18:00(专人保洁作业)；8:00-22:00(巡回保洁作业)；22:00-次日6:00(保持对公众开放)。</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中转站每日开放时间：上午6:00-11:00；下午1:30---5:30,夏令时间的更改另作通知。</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3.总体作业质量要求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3.1按《市政府关于进一步完善常州市城市长效综合管理考核工作的实施意见》、《常州市城市环卫作业质量考核办法》和《常州市新北区环境卫生作业考评细则》的相关规定要求执行。</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3.2活动保障和雨雪灾害天气保障按上级有关部门和预案执行。</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4.道路人工保洁作业要求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4.1作业服务量清单所列面积不包含“街巷交界处清扫保洁应各延伸10米”的作业面积。作业服务量清单中的道路长度仅供参考，实际作业服务范围现场交接时加以明确。</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4.2每天普扫后，其余时间进行不间断保洁作业。</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4.3车行道、人行道及绿化带内废弃物，如果皮、纸、塑膜、烟蒂、痰迹等不得大于零废弃物控制指标，且路面无污水。</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4.4全路段清扫无死角，垃圾无漏收；雨水窨井无阻塞；街巷交界处清扫保洁应各延伸3米。</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4.5严禁手推车工人离岗倾倒垃圾。</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4.6手推车必须套袋或装内胆以便向电瓶车转移，严禁垃圾倾倒在路面，造成二次污染。</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4.7降雪天气，应根据采购人指令及时组织铲雪除冰作业。道路融雪后，路面煤渣、灰沙及其它废弃物应及时清扫干净。</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4.8花岗岩花台每天清洗两次，并巡回保洁。</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5.垃圾清运作业要求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5.1垃圾收集清运时间为5:00-19:00,全天杜绝垃圾清运点出现满溢。临街垃圾收集上午必须在7:00前完成。区自有产权的垃圾房、垃圾亭、垃圾桶每天清洗一次。遇车辆故障等原因报由采购人临时调整。</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5.2垃圾清运点周围2米内必须打扫干净，无死角，无乱张贴，</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5.3垃圾清运车辆必须自觉遵守交通规则，做到安全生产。</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5.4垃圾清运车辆应保持容貌整洁，车辆编号、每日清洗做到车辆性能完好、干净整洁。</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5.5电瓶收集车应确保收集的生活垃圾送往指定的转运站或垃圾房/亭，不得拒绝沿线居民向垃圾收集车辆内倾倒生活垃圾；直收直运车辆应确保收集的生活垃圾送住指定终端。</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5.6每年5月1日至10月31日，应做好对垃圾收集点的蚊蝇等消杀工作。</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5.7所有作业单位(特殊约定的除外)和个人严禁从事生活垃圾有偿清运服务。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5.8所有车辆严禁收运生活垃圾以外的任何废弃物。</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6.果壳箱清运清洗要求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6.1道路的果壳箱每天两清运两清洗。</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6.2果壳箱垃圾清运完成时间(按每日早中晚三次):7:00前、15:00前、21:00前；清洗完成时间：9:00前、15:00前，清洗结束应及时收集沿街垃圾。</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7.公厕作业要求</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7.1公共厕所的日常保洁；公共厕所周边5米范围的保洁；公共厕所的消杀工作；公共厕所产生的垃圾的收集及处置；公共厕所设施的管理；化粪池的清窖和外运。</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7.2公厕巡回保洁，每个时间段不小于三次，巡回保洁作业安排由投标人书面向采购人报批；特殊情况下，由采购人指定作业时间和方式，消杀时间为每年5月至10月。</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8.其他要求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文明作业要求：对作业人员进行文明作业方面的教育；作业人员必须穿着环卫标志服，严禁穿拖鞋上岗；作业时轻拿轻放，文明作业，严禁故意挥扬尘；垃圾运输车辆必须完好、密封、整洁：作业职工之间严禁传播不文明信息。</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8.2安全作业要</w:t>
      </w:r>
      <w:r>
        <w:rPr>
          <w:rFonts w:hint="eastAsia" w:ascii="宋体" w:hAnsi="宋体" w:eastAsia="宋体" w:cs="宋体"/>
          <w:color w:val="000000"/>
          <w:sz w:val="24"/>
          <w:szCs w:val="24"/>
          <w:highlight w:val="none"/>
          <w:lang w:val="en-US" w:eastAsia="zh-CN"/>
        </w:rPr>
        <w:t xml:space="preserve">求：认真贯彻执行国家、省、市、区有关安全生产的法律法规和规定；配备安全生产专(兼)职管理人员建立完整的安全生产管理网络；规章制度健全，工作职责落实考核目标明确，坚持奖惩分明；定期开展安全作业检查，发现问题及时整改；杜绝重、特大安全事故，确保作业单位不发生企事业职工责任伤、亡事故和造成严重影响的责任事故(包括但不限于爆炸、集中中毒和经济损失30万元以上等),一旦发生安全事故造成相关方人身、财产损害的，环卫作业单位应依法承担相应责任；各环卫作业单位必须为每一位作业人员购买人身意外险，符合条件的还应办理社保手续。</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8.3投标人每个月必须组织所有员工进行安全生产培训。</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8.4有以下情况出现的，委托方将予以解除本委托书或调整委托作业面积、区域，另行安排委托作业：</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8.4.1被委托方未按照相关规定、程序以及本委托书的约定进行选择环卫作业单位的。</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8.4.2被委托方因自身管理、机械配备和人员保障等方面不具备履行本委托协议作业内容的。</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9.环卫作业服务项目最低装备配置及定额</w:t>
      </w:r>
      <w:r>
        <w:rPr>
          <w:rFonts w:hint="eastAsia" w:ascii="宋体" w:hAnsi="宋体" w:eastAsia="宋体" w:cs="宋体"/>
          <w:b/>
          <w:bCs/>
          <w:color w:val="000000"/>
          <w:sz w:val="24"/>
          <w:szCs w:val="24"/>
          <w:highlight w:val="none"/>
          <w:lang w:val="en-US" w:eastAsia="zh-CN"/>
        </w:rPr>
        <w:t xml:space="preserve">（提供承诺函，未提供视为无效响应）</w:t>
      </w:r>
      <w:r>
        <w:rPr>
          <w:rFonts w:hint="eastAsia" w:ascii="宋体" w:hAnsi="宋体" w:eastAsia="宋体" w:cs="宋体"/>
          <w:b/>
          <w:bCs/>
          <w:color w:val="000000"/>
          <w:sz w:val="24"/>
          <w:szCs w:val="24"/>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579"/>
        <w:gridCol w:w="970"/>
        <w:gridCol w:w="1568"/>
        <w:gridCol w:w="1349"/>
        <w:gridCol w:w="1401"/>
        <w:gridCol w:w="1685"/>
      </w:tblGrid>
      <w:tr>
        <w:trPr>
          <w:trHeight w:val="732"/>
        </w:trPr>
        <w:tc>
          <w:tcPr>
            <w:tcW w:w="3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车辆/装备</w:t>
            </w:r>
            <w:r>
              <w:rPr>
                <w:rFonts w:hint="eastAsia" w:ascii="宋体" w:hAnsi="宋体" w:eastAsia="宋体" w:cs="宋体"/>
                <w:color w:val="000000"/>
                <w:sz w:val="24"/>
                <w:szCs w:val="24"/>
                <w:highlight w:val="none"/>
              </w:rPr>
            </w:r>
            <w:r/>
          </w:p>
        </w:tc>
        <w:tc>
          <w:tcPr>
            <w:tcW w:w="52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最低配置</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最低作业定额（公里/日）</w:t>
            </w:r>
            <w:r>
              <w:rPr>
                <w:rFonts w:hint="eastAsia" w:ascii="宋体" w:hAnsi="宋体" w:eastAsia="宋体" w:cs="宋体"/>
                <w:color w:val="000000"/>
                <w:sz w:val="24"/>
                <w:szCs w:val="24"/>
                <w:highlight w:val="none"/>
              </w:rPr>
            </w:r>
            <w:r/>
          </w:p>
        </w:tc>
        <w:tc>
          <w:tcPr>
            <w:tcW w:w="72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单车最低人员配置（人）</w:t>
            </w:r>
            <w:r>
              <w:rPr>
                <w:rFonts w:hint="eastAsia" w:ascii="宋体" w:hAnsi="宋体" w:eastAsia="宋体" w:cs="宋体"/>
                <w:color w:val="000000"/>
                <w:sz w:val="24"/>
                <w:szCs w:val="24"/>
                <w:highlight w:val="none"/>
              </w:rPr>
            </w:r>
            <w:r/>
          </w:p>
        </w:tc>
        <w:tc>
          <w:tcPr>
            <w:tcW w:w="7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车龄（采购日期要求）</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tc>
      </w:tr>
      <w:tr>
        <w:trPr>
          <w:trHeight w:val="900"/>
        </w:trPr>
        <w:tc>
          <w:tcPr>
            <w:tcW w:w="3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洗扫车</w:t>
            </w:r>
            <w:r>
              <w:rPr>
                <w:rFonts w:hint="eastAsia" w:ascii="宋体" w:hAnsi="宋体" w:eastAsia="宋体" w:cs="宋体"/>
                <w:color w:val="000000"/>
                <w:sz w:val="24"/>
                <w:szCs w:val="24"/>
                <w:highlight w:val="none"/>
                <w:lang w:val="en-US" w:eastAsia="zh-CN"/>
              </w:rPr>
            </w:r>
            <w:r/>
          </w:p>
        </w:tc>
        <w:tc>
          <w:tcPr>
            <w:tcW w:w="52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4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lang w:val="en-US" w:eastAsia="zh-CN"/>
              </w:rPr>
            </w:r>
            <w:r/>
          </w:p>
        </w:tc>
        <w:tc>
          <w:tcPr>
            <w:tcW w:w="72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2021年1月之后</w:t>
            </w:r>
            <w:r>
              <w:rPr>
                <w:rFonts w:hint="eastAsia" w:ascii="宋体" w:hAnsi="宋体" w:eastAsia="宋体" w:cs="宋体"/>
                <w:color w:val="000000"/>
                <w:sz w:val="24"/>
                <w:szCs w:val="24"/>
                <w:highlight w:val="none"/>
                <w:lang w:val="en-US" w:eastAsia="zh-CN"/>
              </w:rPr>
            </w:r>
            <w:r/>
          </w:p>
        </w:tc>
        <w:tc>
          <w:tcPr>
            <w:tcW w:w="90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行驶证核定载质量≥5吨</w:t>
            </w:r>
            <w:r>
              <w:rPr>
                <w:rFonts w:hint="eastAsia" w:ascii="宋体" w:hAnsi="宋体" w:eastAsia="宋体" w:cs="宋体"/>
                <w:color w:val="000000"/>
                <w:sz w:val="24"/>
                <w:szCs w:val="24"/>
                <w:highlight w:val="none"/>
                <w:lang w:val="en-US" w:eastAsia="zh-CN"/>
              </w:rPr>
            </w:r>
            <w:r/>
          </w:p>
        </w:tc>
      </w:tr>
      <w:tr>
        <w:trPr>
          <w:trHeight w:val="1145"/>
        </w:trPr>
        <w:tc>
          <w:tcPr>
            <w:tcW w:w="3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洒水车</w:t>
            </w:r>
            <w:r>
              <w:rPr>
                <w:rFonts w:hint="eastAsia" w:ascii="宋体" w:hAnsi="宋体" w:eastAsia="宋体" w:cs="宋体"/>
                <w:color w:val="000000"/>
                <w:sz w:val="24"/>
                <w:szCs w:val="24"/>
                <w:highlight w:val="none"/>
                <w:lang w:val="en-US" w:eastAsia="zh-CN"/>
              </w:rPr>
            </w:r>
            <w:r/>
          </w:p>
        </w:tc>
        <w:tc>
          <w:tcPr>
            <w:tcW w:w="52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4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lang w:val="en-US" w:eastAsia="zh-CN"/>
              </w:rPr>
            </w:r>
            <w:r/>
          </w:p>
        </w:tc>
        <w:tc>
          <w:tcPr>
            <w:tcW w:w="72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2021年1月之后</w:t>
            </w:r>
            <w:r>
              <w:rPr>
                <w:rFonts w:hint="eastAsia" w:ascii="宋体" w:hAnsi="宋体" w:eastAsia="宋体" w:cs="宋体"/>
                <w:color w:val="000000"/>
                <w:sz w:val="24"/>
                <w:szCs w:val="24"/>
                <w:highlight w:val="none"/>
                <w:lang w:val="en-US" w:eastAsia="zh-CN"/>
              </w:rPr>
            </w:r>
            <w:r/>
          </w:p>
        </w:tc>
        <w:tc>
          <w:tcPr>
            <w:tcW w:w="90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行驶证核定载质量≥10吨</w:t>
            </w:r>
            <w:r>
              <w:rPr>
                <w:rFonts w:hint="eastAsia" w:ascii="宋体" w:hAnsi="宋体" w:eastAsia="宋体" w:cs="宋体"/>
                <w:color w:val="000000"/>
                <w:sz w:val="24"/>
                <w:szCs w:val="24"/>
                <w:highlight w:val="none"/>
                <w:lang w:val="en-US" w:eastAsia="zh-CN"/>
              </w:rPr>
            </w:r>
            <w:r/>
          </w:p>
        </w:tc>
      </w:tr>
    </w:tbl>
    <w:p>
      <w:pPr>
        <w:pStyle w:val="1068"/>
        <w:ind w:firstLine="480"/>
        <w:keepLines w:val="0"/>
        <w:keepNext w:val="0"/>
        <w:pageBreakBefore w:val="0"/>
        <w:spacing w:before="233"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上表根据《江苏省城市环境卫生作业劳动定额》，并按照本项目实际情况设置。除表格所列设备外，还需根据项目实际配套配置雾炮车、新能源环卫重型机械化作业车辆、新能源无人扫地车、运输车辆、吸污车、电动护栏内侧洗扫车、载融雪撒盐机、除雪铲、除雪滚刷等与本服务项目相关的专用作业设备。严禁使用国三及以下排放标准的车辆。</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2.投标人必须按规定为参与本项目的车辆购买保额为150万的第三方责任保险。</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四、绿化养护服务要求</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1.服务内容</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1.1投标人根据绿化养护技术规范、绿化养护质量标准和有关要求，积极主动保质保量地完成绿化养护工作。</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1.2接受并主动配合采购人及行业管理部门的检查。</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1.3养护范围之外的突击性、突发性工作，投标人必须服从采购人的安排，不得无故拖延。</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1.4绿化带绿化缺失、苗木偷盗、未经行政许可开挖的绿化恢复等应由投标人负责及时补植和修复。</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1.5投标人承诺配备专职巡查人员，日常巡查内容如下：</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1.5.1作业区域有无私开、私挖现象；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1.5.2作业区域内各类绿化植物有无私自修剪现象；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1.5.3作业区域内有无苗木偷盗、绿化带毁绿种菜现象；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1.5.4作业区域内有无苗木死亡、空秃及病虫害现象；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1.5.5其他各类采购人另行规定的巡查内容。</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2.养护要求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2.1为确保养护质量，投标人需对中标后的绿地落实专人动态养护管理，着装上岗，全天候作业。</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2.2养护过程中，投标人必须采取周密的安全措施，以避免对人身和财产的损害。投标人养护操作中造成人身伤害或财产损失的，由投标人自行承担。</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2.3由于台风、暴雨、大雪等自然灾害引起树木突然倒塌，碰线、碰屋影响交通安全等，投标人须立即启动相关预案，并在接到采购人通知后迅速组织力量半小时内到达现场，并及时处理。</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2.4对于投标人养护期间，由于养护工作不能及时完成且造成较大影响的，采购人有权安排第三方进行养护，所发生的费用从投标人月度养护费中扣除。</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投标人养护期间的乔灌花草保存率低于要求的，必须在适合的季节及时补植同品种同规格的苗木，并确保成活。若投标人未按规定补植，采购人有权安排第三方进行种植，所发生的苗木费及补植费用从合同支付款项中扣除。</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2.6发生绿化被偷盗，挖掘毁坏的，及时阻止并上报，并负责后续恢复工作。</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投标人负责原有的设施及绿化的成品保护工作，相关费用已包含在养护费中，对发现人为破坏设施及绿化行为，投标人有义务对破坏行为及时报警并采取有效制止措施，由以上等情况造成的所有的空秃，绿化补种等费用均由投标人负责。</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2.8投标人有义务按采购人要求配合采购人对现有的绿化资产进行统计。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2.9投标报价已充分考虑到原有区域内的空秃补种、菜地清除以及补种以及任何其他原因造成的绿化补种等情况。</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2.10绿地养护质量标准要求植物保存率100%，设施完好率100%。</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绿地养护质量标准要求：《市政府关于进一步完善常州市城市长效综合管理考核工作的实施意见》、《新北区市政绿化管理所绿化、市政设施管护考核办法》、《新北区绿地养护分类分级管理实施细则》、《新北区市政绿化管理所绿化养护技术规程》和采购人及其上级发布的管理规定、规范、办法、文件等执行。如遇新标准，按最新标准执行。</w:t>
      </w:r>
      <w:r>
        <w:rPr>
          <w:rFonts w:hint="eastAsia" w:ascii="宋体" w:hAnsi="宋体" w:eastAsia="宋体" w:cs="宋体"/>
          <w:b w:val="0"/>
          <w:bCs/>
          <w:color w:val="000000"/>
          <w:sz w:val="24"/>
          <w:szCs w:val="24"/>
          <w:highlight w:val="none"/>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五、报价方式</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本项目投标报价为</w:t>
      </w:r>
      <w:r>
        <w:rPr>
          <w:rFonts w:hint="eastAsia" w:ascii="宋体" w:hAnsi="宋体" w:eastAsia="宋体" w:cs="宋体"/>
          <w:b/>
          <w:bCs/>
          <w:color w:val="000000"/>
          <w:sz w:val="24"/>
          <w:szCs w:val="24"/>
          <w:highlight w:val="none"/>
          <w:u w:val="single"/>
          <w:lang w:val="en-US" w:eastAsia="zh-CN"/>
        </w:rPr>
        <w:t xml:space="preserve">固定单价</w:t>
      </w:r>
      <w:r>
        <w:rPr>
          <w:rFonts w:hint="eastAsia" w:ascii="宋体" w:hAnsi="宋体" w:eastAsia="宋体" w:cs="宋体"/>
          <w:color w:val="000000"/>
          <w:sz w:val="24"/>
          <w:szCs w:val="24"/>
          <w:highlight w:val="none"/>
          <w:lang w:val="en-US" w:eastAsia="zh-CN"/>
        </w:rPr>
        <w:t xml:space="preserve">，投标总价应包括招标文件所确定的招标范围相应服务的提供、员工工资、社会保险费、公积金、加班费（包括全年法定假日、双休日及职工带薪年假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中标人应保障服务人员的基本法定待遇，但招标人并不为此支付增加的有关费用。</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六、服务期限：</w:t>
      </w:r>
      <w:r>
        <w:rPr>
          <w:rFonts w:hint="eastAsia" w:ascii="宋体" w:hAnsi="宋体" w:eastAsia="宋体" w:cs="宋体"/>
          <w:b w:val="0"/>
          <w:bCs w:val="0"/>
          <w:color w:val="000000"/>
          <w:sz w:val="24"/>
          <w:szCs w:val="24"/>
          <w:highlight w:val="none"/>
          <w:lang w:val="en-US" w:eastAsia="zh-CN"/>
        </w:rPr>
        <w:t xml:space="preserve">服务期限为三年，合同一年一签，其中：前三个月为试用期，试用期满须经采购人考核，考核不合格，采购人有权解除合同。每年合同期满经采购人考核合格后续签下一年度合同。</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七、付款方式</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上半年付至全年合同价的40%,下半年至全年合同价的80%,全年合同款的15%作为全年度每月点评会奖惩金发放。全年合同款的5%作为年度考核费用，待确保乙方结清给工人的全部工资、奖金、福利及其他应付的经费后，结合全年度的考核情况，在协议期满后次月一次性结清（无息）。</w:t>
      </w:r>
      <w:r>
        <w:rPr>
          <w:rFonts w:hint="eastAsia" w:ascii="宋体" w:hAnsi="宋体" w:eastAsia="宋体" w:cs="宋体"/>
          <w:color w:val="000000"/>
          <w:sz w:val="24"/>
          <w:szCs w:val="24"/>
          <w:highlight w:val="none"/>
          <w:lang w:val="en-US" w:eastAsia="zh-CN" w:bidi="ar"/>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八、考核要求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月度考核分(90-100分)，月度扣款</w:t>
      </w:r>
      <w:r>
        <w:rPr>
          <w:rFonts w:hint="eastAsia" w:ascii="宋体" w:hAnsi="宋体" w:eastAsia="宋体" w:cs="宋体"/>
          <w:color w:val="000000"/>
          <w:sz w:val="24"/>
          <w:szCs w:val="24"/>
          <w:highlight w:val="none"/>
          <w:lang w:val="en-US" w:eastAsia="zh-CN" w:bidi="ar"/>
        </w:rPr>
        <w:t xml:space="preserve">200</w:t>
      </w:r>
      <w:r>
        <w:rPr>
          <w:rFonts w:hint="eastAsia" w:ascii="宋体" w:hAnsi="宋体" w:eastAsia="宋体" w:cs="宋体"/>
          <w:color w:val="000000"/>
          <w:sz w:val="24"/>
          <w:szCs w:val="24"/>
          <w:highlight w:val="none"/>
          <w:lang w:bidi="ar"/>
        </w:rPr>
        <w:t xml:space="preserve">元/0.1分；</w:t>
      </w:r>
      <w:r>
        <w:rPr>
          <w:rFonts w:hint="eastAsia" w:ascii="宋体" w:hAnsi="宋体" w:eastAsia="宋体" w:cs="宋体"/>
          <w:color w:val="000000"/>
          <w:sz w:val="24"/>
          <w:szCs w:val="24"/>
          <w:highlight w:val="none"/>
          <w:lang w:bidi="ar"/>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月度考核分(90分以下)，考核不合格，月度扣款</w:t>
      </w:r>
      <w:r>
        <w:rPr>
          <w:rFonts w:hint="eastAsia" w:ascii="宋体" w:hAnsi="宋体" w:eastAsia="宋体" w:cs="宋体"/>
          <w:color w:val="000000"/>
          <w:sz w:val="24"/>
          <w:szCs w:val="24"/>
          <w:highlight w:val="none"/>
          <w:lang w:val="en-US" w:eastAsia="zh-CN" w:bidi="ar"/>
        </w:rPr>
        <w:t xml:space="preserve">500</w:t>
      </w:r>
      <w:r>
        <w:rPr>
          <w:rFonts w:hint="eastAsia" w:ascii="宋体" w:hAnsi="宋体" w:eastAsia="宋体" w:cs="宋体"/>
          <w:color w:val="000000"/>
          <w:sz w:val="24"/>
          <w:szCs w:val="24"/>
          <w:highlight w:val="none"/>
          <w:lang w:bidi="ar"/>
        </w:rPr>
        <w:t xml:space="preserve">元/0.1分，由</w:t>
      </w:r>
      <w:r>
        <w:rPr>
          <w:rFonts w:hint="eastAsia" w:ascii="宋体" w:hAnsi="宋体" w:eastAsia="宋体" w:cs="宋体"/>
          <w:color w:val="000000"/>
          <w:sz w:val="24"/>
          <w:szCs w:val="24"/>
          <w:highlight w:val="none"/>
          <w:lang w:val="en-US" w:eastAsia="zh-CN" w:bidi="ar"/>
        </w:rPr>
        <w:t xml:space="preserve">采购人</w:t>
      </w:r>
      <w:r>
        <w:rPr>
          <w:rFonts w:hint="eastAsia" w:ascii="宋体" w:hAnsi="宋体" w:eastAsia="宋体" w:cs="宋体"/>
          <w:color w:val="000000"/>
          <w:sz w:val="24"/>
          <w:szCs w:val="24"/>
          <w:highlight w:val="none"/>
          <w:lang w:bidi="ar"/>
        </w:rPr>
        <w:t xml:space="preserve">予以指导、培训。提请</w:t>
      </w:r>
      <w:r>
        <w:rPr>
          <w:rFonts w:hint="eastAsia" w:ascii="宋体" w:hAnsi="宋体" w:eastAsia="宋体" w:cs="宋体"/>
          <w:color w:val="000000"/>
          <w:sz w:val="24"/>
          <w:szCs w:val="24"/>
          <w:highlight w:val="none"/>
          <w:lang w:val="en-US" w:eastAsia="zh-CN" w:bidi="ar"/>
        </w:rPr>
        <w:t xml:space="preserve">中标人</w:t>
      </w:r>
      <w:r>
        <w:rPr>
          <w:rFonts w:hint="eastAsia" w:ascii="宋体" w:hAnsi="宋体" w:eastAsia="宋体" w:cs="宋体"/>
          <w:color w:val="000000"/>
          <w:sz w:val="24"/>
          <w:szCs w:val="24"/>
          <w:highlight w:val="none"/>
          <w:lang w:bidi="ar"/>
        </w:rPr>
        <w:t xml:space="preserve">改进不足，并限期整改。</w:t>
      </w:r>
      <w:r>
        <w:rPr>
          <w:rFonts w:hint="eastAsia" w:ascii="宋体" w:hAnsi="宋体" w:eastAsia="宋体" w:cs="宋体"/>
          <w:color w:val="000000"/>
          <w:sz w:val="24"/>
          <w:szCs w:val="24"/>
          <w:highlight w:val="none"/>
          <w:lang w:bidi="ar"/>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连续两个月考核成绩在90分以下的</w:t>
      </w:r>
      <w:r>
        <w:rPr>
          <w:rFonts w:hint="eastAsia" w:ascii="宋体" w:hAnsi="宋体" w:eastAsia="宋体" w:cs="宋体"/>
          <w:color w:val="000000"/>
          <w:sz w:val="24"/>
          <w:szCs w:val="24"/>
          <w:highlight w:val="none"/>
          <w:lang w:val="en-US" w:eastAsia="zh-CN" w:bidi="ar"/>
        </w:rPr>
        <w:t xml:space="preserve">或</w:t>
      </w:r>
      <w:r>
        <w:rPr>
          <w:rFonts w:hint="eastAsia" w:ascii="宋体" w:hAnsi="宋体" w:eastAsia="宋体" w:cs="宋体"/>
          <w:color w:val="000000"/>
          <w:sz w:val="24"/>
          <w:szCs w:val="24"/>
          <w:highlight w:val="none"/>
          <w:lang w:bidi="ar"/>
        </w:rPr>
        <w:t xml:space="preserve">全年累计有3个月90分以下的，</w:t>
      </w:r>
      <w:r>
        <w:rPr>
          <w:rFonts w:hint="eastAsia" w:ascii="宋体" w:hAnsi="宋体" w:eastAsia="宋体" w:cs="宋体"/>
          <w:color w:val="000000"/>
          <w:sz w:val="24"/>
          <w:szCs w:val="24"/>
          <w:highlight w:val="none"/>
          <w:lang w:val="en-US" w:eastAsia="zh-CN" w:bidi="ar"/>
        </w:rPr>
        <w:t xml:space="preserve">采购人可</w:t>
      </w:r>
      <w:r>
        <w:rPr>
          <w:rFonts w:hint="eastAsia" w:ascii="宋体" w:hAnsi="宋体" w:eastAsia="宋体" w:cs="宋体"/>
          <w:color w:val="000000"/>
          <w:sz w:val="24"/>
          <w:szCs w:val="24"/>
          <w:highlight w:val="none"/>
          <w:lang w:bidi="ar"/>
        </w:rPr>
        <w:t xml:space="preserve">无条件提前终止合同。</w:t>
      </w:r>
      <w:r>
        <w:rPr>
          <w:rFonts w:hint="eastAsia" w:ascii="宋体" w:hAnsi="宋体" w:eastAsia="宋体" w:cs="宋体"/>
          <w:color w:val="000000"/>
          <w:sz w:val="24"/>
          <w:szCs w:val="24"/>
          <w:highlight w:val="none"/>
          <w:lang w:bidi="ar"/>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4.考核细则</w:t>
      </w:r>
      <w:r>
        <w:rPr>
          <w:rFonts w:hint="eastAsia" w:ascii="宋体" w:hAnsi="宋体" w:eastAsia="宋体" w:cs="宋体"/>
          <w:color w:val="000000"/>
          <w:sz w:val="24"/>
          <w:szCs w:val="24"/>
          <w:highlight w:val="none"/>
          <w:lang w:val="en-US" w:eastAsia="zh-CN" w:bidi="ar"/>
        </w:rPr>
      </w:r>
      <w:r/>
    </w:p>
    <w:p>
      <w:pPr>
        <w:pStyle w:val="1068"/>
        <w:jc w:val="center"/>
        <w:spacing w:line="360" w:lineRule="auto"/>
        <w:rPr>
          <w:rFonts w:ascii="宋体" w:hAnsi="宋体" w:eastAsia="宋体" w:cs="宋体"/>
          <w:b/>
          <w:bCs/>
          <w:color w:val="000000"/>
          <w:sz w:val="32"/>
          <w:szCs w:val="32"/>
          <w:highlight w:val="none"/>
          <w:lang w:eastAsia="zh-CN"/>
        </w:rPr>
      </w:pPr>
      <w:r/>
      <w:bookmarkStart w:id="815" w:name="_Toc99301425"/>
      <w:r>
        <w:rPr>
          <w:rFonts w:hint="eastAsia" w:ascii="宋体" w:hAnsi="宋体" w:eastAsia="宋体" w:cs="宋体"/>
          <w:b/>
          <w:bCs/>
          <w:color w:val="000000"/>
          <w:sz w:val="32"/>
          <w:szCs w:val="32"/>
          <w:highlight w:val="none"/>
          <w:lang w:eastAsia="zh-CN"/>
        </w:rPr>
        <w:t xml:space="preserve">绿化养护劳务作业项目管理考核评分表（50分）</w:t>
      </w:r>
      <w:r>
        <w:rPr>
          <w:rFonts w:ascii="宋体" w:hAnsi="宋体" w:eastAsia="宋体" w:cs="宋体"/>
          <w:b/>
          <w:bCs/>
          <w:color w:val="000000"/>
          <w:sz w:val="32"/>
          <w:szCs w:val="32"/>
          <w:highlight w:val="none"/>
          <w:lang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3"/>
        <w:gridCol w:w="1753"/>
        <w:gridCol w:w="6296"/>
        <w:gridCol w:w="769"/>
      </w:tblGrid>
      <w:tr>
        <w:trPr>
          <w:trHeight w:val="281"/>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ascii="宋体" w:hAnsi="宋体" w:eastAsia="宋体" w:cs="宋体"/>
                <w:b/>
                <w:bCs/>
                <w:color w:val="000000"/>
                <w:sz w:val="24"/>
                <w:szCs w:val="24"/>
                <w:highlight w:val="none"/>
                <w:lang w:val="en-US" w:eastAsia="zh-CN"/>
              </w:rPr>
            </w:r>
            <w:r/>
          </w:p>
        </w:tc>
        <w:tc>
          <w:tcPr>
            <w:tcW w:w="944"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考核项目</w:t>
            </w:r>
            <w:r>
              <w:rPr>
                <w:rFonts w:hint="eastAsia" w:ascii="宋体" w:hAnsi="宋体" w:eastAsia="宋体" w:cs="宋体"/>
                <w:b/>
                <w:bCs/>
                <w:color w:val="000000"/>
                <w:sz w:val="24"/>
                <w:szCs w:val="24"/>
                <w:highlight w:val="none"/>
                <w:lang w:eastAsia="zh-CN"/>
              </w:rPr>
            </w:r>
            <w:r/>
          </w:p>
        </w:tc>
        <w:tc>
          <w:tcPr>
            <w:tcW w:w="339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考核细则</w:t>
            </w:r>
            <w:r>
              <w:rPr>
                <w:rFonts w:ascii="宋体" w:hAnsi="宋体" w:eastAsia="宋体" w:cs="宋体"/>
                <w:b/>
                <w:bCs/>
                <w:color w:val="000000"/>
                <w:sz w:val="24"/>
                <w:szCs w:val="24"/>
                <w:highlight w:val="none"/>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扣</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eastAsia="zh-CN"/>
              </w:rPr>
            </w:r>
            <w:r/>
          </w:p>
        </w:tc>
      </w:tr>
      <w:tr>
        <w:trPr>
          <w:trHeight w:val="1207"/>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管理人员</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未按照要求配备管理人员的,管理人员从事公园管护工作</w:t>
            </w:r>
            <w:r>
              <w:rPr>
                <w:rFonts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年及以上，有园林绿化相关中级及以上职业证书,以违约论处。</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巡查人员未按本细则要求开展巡查工作的，发现</w:t>
            </w:r>
            <w:r>
              <w:rPr>
                <w:rFonts w:hint="eastAsia" w:ascii="宋体" w:hAnsi="宋体" w:eastAsia="宋体" w:cs="宋体"/>
                <w:color w:val="000000"/>
                <w:sz w:val="24"/>
                <w:szCs w:val="24"/>
                <w:highlight w:val="none"/>
                <w:lang w:val="en-US" w:eastAsia="zh-CN"/>
              </w:rPr>
              <w:t xml:space="preserve">一处</w:t>
            </w:r>
            <w:r>
              <w:rPr>
                <w:rFonts w:hint="eastAsia" w:ascii="宋体" w:hAnsi="宋体" w:eastAsia="宋体" w:cs="宋体"/>
                <w:color w:val="000000"/>
                <w:sz w:val="24"/>
                <w:szCs w:val="24"/>
                <w:highlight w:val="none"/>
                <w:lang w:eastAsia="zh-CN"/>
              </w:rPr>
              <w:t xml:space="preserve">问题扣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分；以检查其巡查记录和对照现场实况为准。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项目负责人未按合同要求开展现场督促、指挥工作，致使现场作业无序、作业不规范、管理混乱的，</w:t>
            </w:r>
            <w:r>
              <w:rPr>
                <w:rFonts w:hint="eastAsia" w:ascii="宋体" w:hAnsi="宋体" w:eastAsia="宋体" w:cs="宋体"/>
                <w:color w:val="000000"/>
                <w:sz w:val="24"/>
                <w:szCs w:val="24"/>
                <w:highlight w:val="none"/>
                <w:lang w:eastAsia="zh-CN"/>
              </w:rPr>
              <w:t xml:space="preserve">每</w:t>
            </w:r>
            <w:r>
              <w:rPr>
                <w:rFonts w:ascii="宋体" w:hAnsi="宋体" w:eastAsia="宋体" w:cs="宋体"/>
                <w:color w:val="000000"/>
                <w:sz w:val="24"/>
                <w:szCs w:val="24"/>
                <w:highlight w:val="none"/>
                <w:lang w:eastAsia="zh-CN"/>
              </w:rPr>
              <w:t xml:space="preserve">次</w:t>
            </w:r>
            <w:r>
              <w:rPr>
                <w:rFonts w:hint="eastAsia" w:ascii="宋体" w:hAnsi="宋体" w:eastAsia="宋体" w:cs="宋体"/>
                <w:color w:val="000000"/>
                <w:sz w:val="24"/>
                <w:szCs w:val="24"/>
                <w:highlight w:val="none"/>
                <w:lang w:eastAsia="zh-CN"/>
              </w:rPr>
              <w:t xml:space="preserve">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管理人员手机不通，联系不畅的，每</w:t>
            </w:r>
            <w:r>
              <w:rPr>
                <w:rFonts w:ascii="宋体" w:hAnsi="宋体" w:eastAsia="宋体" w:cs="宋体"/>
                <w:color w:val="000000"/>
                <w:sz w:val="24"/>
                <w:szCs w:val="24"/>
                <w:highlight w:val="none"/>
                <w:lang w:eastAsia="zh-CN"/>
              </w:rPr>
              <w:t xml:space="preserve">次</w:t>
            </w:r>
            <w:r>
              <w:rPr>
                <w:rFonts w:hint="eastAsia" w:ascii="宋体" w:hAnsi="宋体" w:eastAsia="宋体" w:cs="宋体"/>
                <w:color w:val="000000"/>
                <w:sz w:val="24"/>
                <w:szCs w:val="24"/>
                <w:highlight w:val="none"/>
                <w:lang w:eastAsia="zh-CN"/>
              </w:rPr>
              <w:t xml:space="preserve">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以上情况达到不履约标准的，甲方有权终止合同。</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仿宋" w:hAnsi="仿宋" w:eastAsia="仿宋" w:cs="宋体"/>
                <w:color w:val="000000"/>
                <w:sz w:val="24"/>
                <w:szCs w:val="24"/>
                <w:highlight w:val="none"/>
                <w:lang w:eastAsia="zh-CN"/>
              </w:rPr>
            </w:pPr>
            <w:r>
              <w:rPr>
                <w:rFonts w:ascii="仿宋" w:hAnsi="仿宋" w:eastAsia="仿宋" w:cs="宋体"/>
                <w:color w:val="000000"/>
                <w:sz w:val="24"/>
                <w:szCs w:val="24"/>
                <w:highlight w:val="none"/>
                <w:lang w:eastAsia="zh-CN"/>
              </w:rPr>
            </w:r>
            <w:r/>
          </w:p>
        </w:tc>
      </w:tr>
      <w:tr>
        <w:trPr>
          <w:trHeight w:val="718"/>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养护工人</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甲方不定期对现场养护人员人数进行核查，每少1人，扣</w:t>
            </w:r>
            <w:r>
              <w:rPr>
                <w:rFonts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分；各区域技术工人员（园林绿化类中级工）不得少于3人，以检查相关技术证书为准，每少1人，扣</w:t>
            </w:r>
            <w:r>
              <w:rPr>
                <w:rFonts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特殊时期（台风、旱灾等）、繁忙季节、现场养护情况不理想等时期，养护人员人数不能满足工作需要，扣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分；整改不及时每处，扣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达到不履约标准的，甲方有权终止合同。</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仿宋" w:hAnsi="仿宋" w:eastAsia="仿宋" w:cs="宋体"/>
                <w:color w:val="000000"/>
                <w:sz w:val="24"/>
                <w:szCs w:val="24"/>
                <w:highlight w:val="none"/>
                <w:lang w:eastAsia="zh-CN"/>
              </w:rPr>
            </w:pPr>
            <w:r>
              <w:rPr>
                <w:rFonts w:ascii="仿宋" w:hAnsi="仿宋" w:eastAsia="仿宋" w:cs="宋体"/>
                <w:color w:val="000000"/>
                <w:sz w:val="24"/>
                <w:szCs w:val="24"/>
                <w:highlight w:val="none"/>
                <w:lang w:eastAsia="zh-CN"/>
              </w:rPr>
            </w:r>
            <w:r/>
          </w:p>
        </w:tc>
      </w:tr>
      <w:tr>
        <w:trPr>
          <w:trHeight w:val="862"/>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设备、车辆管理</w:t>
            </w:r>
            <w:r>
              <w:rPr>
                <w:rFonts w:ascii="宋体" w:hAnsi="宋体" w:eastAsia="宋体" w:cs="宋体"/>
                <w:color w:val="000000"/>
                <w:sz w:val="24"/>
                <w:szCs w:val="24"/>
                <w:highlight w:val="none"/>
              </w:rPr>
            </w:r>
            <w:r/>
          </w:p>
        </w:tc>
        <w:tc>
          <w:tcPr>
            <w:tcW w:w="3390" w:type="dxa"/>
            <w:vAlign w:val="center"/>
            <w:textDirection w:val="lrTb"/>
            <w:noWrap w:val="false"/>
          </w:tcPr>
          <w:p>
            <w:pPr>
              <w:pStyle w:val="1068"/>
              <w:numPr>
                <w:ilvl w:val="0"/>
                <w:numId w:val="0"/>
              </w:numPr>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eastAsia="zh-CN"/>
              </w:rPr>
              <w:t xml:space="preserve">未按合同要求配备养护设备、车辆，开展日常管养工作（及时清理绿化垃圾、绿化浇水、修剪等）的，每发现一次扣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特殊时期（台风、旱灾等）、繁忙季节、现场养护情况不理想等时期，涉及设备、车辆未满负荷运转的，且整改不及时，扣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未遵守交通规则（超载、闯红灯、故意逆向行驶等），或造成交通事故的，扣</w:t>
            </w:r>
            <w:r>
              <w:rPr>
                <w:rFonts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t xml:space="preserve">分；涉及人员及财产损失的，由各养护单位自行承担。</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仿宋" w:hAnsi="仿宋" w:eastAsia="仿宋" w:cs="宋体"/>
                <w:color w:val="000000"/>
                <w:sz w:val="24"/>
                <w:szCs w:val="24"/>
                <w:highlight w:val="none"/>
                <w:lang w:eastAsia="zh-CN"/>
              </w:rPr>
            </w:pPr>
            <w:r>
              <w:rPr>
                <w:rFonts w:ascii="仿宋" w:hAnsi="仿宋" w:eastAsia="仿宋" w:cs="宋体"/>
                <w:color w:val="000000"/>
                <w:sz w:val="24"/>
                <w:szCs w:val="24"/>
                <w:highlight w:val="none"/>
                <w:lang w:eastAsia="zh-CN"/>
              </w:rPr>
            </w:r>
            <w:r/>
          </w:p>
        </w:tc>
      </w:tr>
      <w:tr>
        <w:trPr>
          <w:trHeight w:val="90"/>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纪律要求</w:t>
            </w:r>
            <w:r>
              <w:rPr>
                <w:rFonts w:ascii="宋体" w:hAnsi="宋体" w:eastAsia="宋体" w:cs="宋体"/>
                <w:color w:val="000000"/>
                <w:sz w:val="24"/>
                <w:szCs w:val="24"/>
                <w:highlight w:val="none"/>
              </w:rPr>
            </w:r>
            <w:r/>
          </w:p>
        </w:tc>
        <w:tc>
          <w:tcPr>
            <w:tcW w:w="3390" w:type="dxa"/>
            <w:vAlign w:val="center"/>
            <w:textDirection w:val="lrTb"/>
            <w:noWrap w:val="false"/>
          </w:tcPr>
          <w:p>
            <w:pPr>
              <w:pStyle w:val="1068"/>
              <w:numPr>
                <w:ilvl w:val="0"/>
                <w:numId w:val="0"/>
              </w:numPr>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eastAsia="zh-CN"/>
              </w:rPr>
              <w:t xml:space="preserve">负责人须参加月度工作会议，不得缺席。无</w:t>
            </w:r>
            <w:r>
              <w:rPr>
                <w:rFonts w:hint="eastAsia" w:ascii="宋体" w:hAnsi="宋体" w:eastAsia="宋体" w:cs="宋体"/>
                <w:color w:val="000000"/>
                <w:sz w:val="24"/>
                <w:szCs w:val="24"/>
                <w:highlight w:val="none"/>
                <w:lang w:val="en-US" w:eastAsia="zh-CN"/>
              </w:rPr>
              <w:t xml:space="preserve">日志</w:t>
            </w:r>
            <w:r>
              <w:rPr>
                <w:rFonts w:hint="eastAsia" w:ascii="宋体" w:hAnsi="宋体" w:eastAsia="宋体" w:cs="宋体"/>
                <w:color w:val="000000"/>
                <w:sz w:val="24"/>
                <w:szCs w:val="24"/>
                <w:highlight w:val="none"/>
                <w:lang w:eastAsia="zh-CN"/>
              </w:rPr>
              <w:t xml:space="preserve">的发现一项不符合规定的扣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分；未按计划组织每次扣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numPr>
                <w:ilvl w:val="0"/>
                <w:numId w:val="0"/>
              </w:numPr>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eastAsia="zh-CN"/>
              </w:rPr>
              <w:t xml:space="preserve">会议迟到、早退的，扣</w:t>
            </w:r>
            <w:r>
              <w:rPr>
                <w:rFonts w:ascii="宋体" w:hAnsi="宋体" w:eastAsia="宋体" w:cs="宋体"/>
                <w:color w:val="000000"/>
                <w:sz w:val="24"/>
                <w:szCs w:val="24"/>
                <w:highlight w:val="none"/>
                <w:lang w:eastAsia="zh-CN"/>
              </w:rPr>
              <w:t xml:space="preserve">0.1</w:t>
            </w:r>
            <w:r>
              <w:rPr>
                <w:rFonts w:hint="eastAsia" w:ascii="宋体" w:hAnsi="宋体" w:eastAsia="宋体" w:cs="宋体"/>
                <w:color w:val="000000"/>
                <w:sz w:val="24"/>
                <w:szCs w:val="24"/>
                <w:highlight w:val="none"/>
                <w:lang w:eastAsia="zh-CN"/>
              </w:rPr>
              <w:t xml:space="preserve">分/人次。</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仿宋" w:hAnsi="仿宋" w:eastAsia="仿宋" w:cs="宋体"/>
                <w:color w:val="000000"/>
                <w:sz w:val="24"/>
                <w:szCs w:val="24"/>
                <w:highlight w:val="none"/>
                <w:lang w:eastAsia="zh-CN"/>
              </w:rPr>
            </w:pPr>
            <w:r>
              <w:rPr>
                <w:rFonts w:ascii="仿宋" w:hAnsi="仿宋" w:eastAsia="仿宋" w:cs="宋体"/>
                <w:color w:val="000000"/>
                <w:sz w:val="24"/>
                <w:szCs w:val="24"/>
                <w:highlight w:val="none"/>
                <w:lang w:eastAsia="zh-CN"/>
              </w:rPr>
            </w:r>
            <w:r/>
          </w:p>
        </w:tc>
      </w:tr>
      <w:tr>
        <w:trPr>
          <w:trHeight w:val="157"/>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现场管理</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上级领导日常发现存在的养护问题，视情况严重性，扣0.</w:t>
            </w:r>
            <w:r>
              <w:rPr>
                <w:rFonts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现场考核时发现存在问题，扣0.</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仿宋" w:hAnsi="仿宋" w:eastAsia="仿宋" w:cs="宋体"/>
                <w:color w:val="000000"/>
                <w:sz w:val="24"/>
                <w:szCs w:val="24"/>
                <w:highlight w:val="none"/>
                <w:lang w:eastAsia="zh-CN"/>
              </w:rPr>
            </w:pPr>
            <w:r>
              <w:rPr>
                <w:rFonts w:ascii="仿宋" w:hAnsi="仿宋" w:eastAsia="仿宋" w:cs="宋体"/>
                <w:color w:val="000000"/>
                <w:sz w:val="24"/>
                <w:szCs w:val="24"/>
                <w:highlight w:val="none"/>
                <w:lang w:eastAsia="zh-CN"/>
              </w:rPr>
            </w:r>
            <w:r/>
          </w:p>
        </w:tc>
      </w:tr>
      <w:tr>
        <w:trPr>
          <w:trHeight w:val="1000"/>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安全文明</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养护工人不穿制服的，扣</w:t>
            </w:r>
            <w:r>
              <w:rPr>
                <w:rFonts w:ascii="宋体" w:hAnsi="宋体" w:eastAsia="宋体" w:cs="宋体"/>
                <w:color w:val="000000"/>
                <w:sz w:val="24"/>
                <w:szCs w:val="24"/>
                <w:highlight w:val="none"/>
                <w:lang w:eastAsia="zh-CN"/>
              </w:rPr>
              <w:t xml:space="preserve">0.1</w:t>
            </w:r>
            <w:r>
              <w:rPr>
                <w:rFonts w:hint="eastAsia" w:ascii="宋体" w:hAnsi="宋体" w:eastAsia="宋体" w:cs="宋体"/>
                <w:color w:val="000000"/>
                <w:sz w:val="24"/>
                <w:szCs w:val="24"/>
                <w:highlight w:val="none"/>
                <w:lang w:eastAsia="zh-CN"/>
              </w:rPr>
              <w:t xml:space="preserve">分/人；工人乱堆放作业工具、交通工具，影响市容交通的，扣</w:t>
            </w:r>
            <w:r>
              <w:rPr>
                <w:rFonts w:ascii="宋体" w:hAnsi="宋体" w:eastAsia="宋体" w:cs="宋体"/>
                <w:color w:val="000000"/>
                <w:sz w:val="24"/>
                <w:szCs w:val="24"/>
                <w:highlight w:val="none"/>
                <w:lang w:eastAsia="zh-CN"/>
              </w:rPr>
              <w:t xml:space="preserve">0.1</w:t>
            </w:r>
            <w:r>
              <w:rPr>
                <w:rFonts w:hint="eastAsia" w:ascii="宋体" w:hAnsi="宋体" w:eastAsia="宋体" w:cs="宋体"/>
                <w:color w:val="000000"/>
                <w:sz w:val="24"/>
                <w:szCs w:val="24"/>
                <w:highlight w:val="none"/>
                <w:lang w:eastAsia="zh-CN"/>
              </w:rPr>
              <w:t xml:space="preserve">分/人。</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修剪、浇水、治理病虫害等需占道而未采取必要维护措施的，扣</w:t>
            </w:r>
            <w:r>
              <w:rPr>
                <w:rFonts w:ascii="宋体" w:hAnsi="宋体" w:eastAsia="宋体" w:cs="宋体"/>
                <w:color w:val="000000"/>
                <w:sz w:val="24"/>
                <w:szCs w:val="24"/>
                <w:highlight w:val="none"/>
                <w:lang w:eastAsia="zh-CN"/>
              </w:rPr>
              <w:t xml:space="preserve">0.3</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养护作业未对工人采取必要劳保防护措施的，扣</w:t>
            </w:r>
            <w:r>
              <w:rPr>
                <w:rFonts w:ascii="宋体" w:hAnsi="宋体" w:eastAsia="宋体" w:cs="宋体"/>
                <w:color w:val="000000"/>
                <w:sz w:val="24"/>
                <w:szCs w:val="24"/>
                <w:highlight w:val="none"/>
                <w:lang w:eastAsia="zh-CN"/>
              </w:rPr>
              <w:t xml:space="preserve">0.1</w:t>
            </w:r>
            <w:r>
              <w:rPr>
                <w:rFonts w:hint="eastAsia" w:ascii="宋体" w:hAnsi="宋体" w:eastAsia="宋体" w:cs="宋体"/>
                <w:color w:val="000000"/>
                <w:sz w:val="24"/>
                <w:szCs w:val="24"/>
                <w:highlight w:val="none"/>
                <w:lang w:eastAsia="zh-CN"/>
              </w:rPr>
              <w:t xml:space="preserve">分/次。</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修剪物随产随清，未按照要求及时清理的，扣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分/处。</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987"/>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内业资料</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未及时记录日志的，按照未记录的天数，扣</w:t>
            </w:r>
            <w:r>
              <w:rPr>
                <w:rFonts w:ascii="宋体" w:hAnsi="宋体" w:eastAsia="宋体" w:cs="宋体"/>
                <w:color w:val="000000"/>
                <w:sz w:val="24"/>
                <w:szCs w:val="24"/>
                <w:highlight w:val="none"/>
                <w:lang w:eastAsia="zh-CN"/>
              </w:rPr>
              <w:t xml:space="preserve">0.1</w:t>
            </w:r>
            <w:r>
              <w:rPr>
                <w:rFonts w:hint="eastAsia" w:ascii="宋体" w:hAnsi="宋体" w:eastAsia="宋体" w:cs="宋体"/>
                <w:color w:val="000000"/>
                <w:sz w:val="24"/>
                <w:szCs w:val="24"/>
                <w:highlight w:val="none"/>
                <w:lang w:eastAsia="zh-CN"/>
              </w:rPr>
              <w:t xml:space="preserve">分/天扣款。</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未及时向甲方提交月度报告的，扣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分/处。</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未及时向甲方提交年度报告及VCR的，扣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分/处。</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以上内业资料未按照甲方要求整理编写的，扣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分/处。</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b/>
                <w:bCs/>
                <w:color w:val="000000"/>
                <w:sz w:val="24"/>
                <w:szCs w:val="24"/>
                <w:highlight w:val="none"/>
                <w:lang w:eastAsia="zh-CN"/>
              </w:rPr>
            </w:pPr>
            <w:r>
              <w:rPr>
                <w:rFonts w:ascii="宋体" w:hAnsi="宋体" w:eastAsia="宋体" w:cs="宋体"/>
                <w:b/>
                <w:bCs/>
                <w:color w:val="000000"/>
                <w:sz w:val="24"/>
                <w:szCs w:val="24"/>
                <w:highlight w:val="none"/>
                <w:lang w:eastAsia="zh-CN"/>
              </w:rPr>
            </w:r>
            <w:r/>
          </w:p>
        </w:tc>
      </w:tr>
      <w:tr>
        <w:trPr>
          <w:trHeight w:val="1412"/>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被城市管理部门扣分；被各类媒体曝光；甲方安排任务未及时完成等</w:t>
            </w:r>
            <w:r>
              <w:rPr>
                <w:rFonts w:ascii="宋体" w:hAnsi="宋体" w:eastAsia="宋体" w:cs="宋体"/>
                <w:color w:val="000000"/>
                <w:sz w:val="24"/>
                <w:szCs w:val="24"/>
                <w:highlight w:val="none"/>
                <w:lang w:eastAsia="zh-CN"/>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在常州市城市长效综合管理考评中扣分的，一个问题扣</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新北区城市管理部门长效考核曝光问题按，扣</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分/处。</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被各类媒体曝光（报纸、电视、电台、网站等）的，经甲方调查确认，中标养护单位确实存在过错的，根据负面影响程度，扣</w:t>
            </w:r>
            <w:r>
              <w:rPr>
                <w:rFonts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eastAsia="zh-CN"/>
              </w:rPr>
              <w:t xml:space="preserve">分/处。</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甲方发现问题或布置的任务、市、区级派单整改不及时的，且无正当理由，扣</w:t>
            </w:r>
            <w:r>
              <w:rPr>
                <w:rFonts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t xml:space="preserve">分/次。</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1149"/>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整形修剪</w:t>
            </w:r>
            <w:r>
              <w:rPr>
                <w:rFonts w:ascii="宋体" w:hAnsi="宋体" w:eastAsia="宋体" w:cs="宋体"/>
                <w:color w:val="000000"/>
                <w:sz w:val="24"/>
                <w:szCs w:val="24"/>
                <w:highlight w:val="none"/>
                <w:lang w:eastAsia="zh-CN"/>
              </w:rPr>
            </w:r>
            <w:r/>
          </w:p>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（分乔、灌、草三类）</w:t>
            </w:r>
            <w:r>
              <w:rPr>
                <w:rFonts w:ascii="宋体" w:hAnsi="宋体" w:eastAsia="宋体" w:cs="宋体"/>
                <w:color w:val="000000"/>
                <w:sz w:val="24"/>
                <w:szCs w:val="24"/>
                <w:highlight w:val="none"/>
                <w:lang w:eastAsia="zh-CN"/>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未按照绿化养护技术规程要求修剪，发现一路段扣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837"/>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防病治虫</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病虫害防治不及时，造成苗木草坪死亡或长势差，或影响观赏效果的，发现一路段扣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590"/>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抗旱或排涝</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浇水不及时或浇水方式不当造成苗木死亡或长势差；排水不积水造成苗木死亡或长势差，</w:t>
            </w:r>
            <w:r>
              <w:rPr>
                <w:rFonts w:hint="eastAsia" w:ascii="宋体" w:hAnsi="宋体" w:eastAsia="宋体" w:cs="宋体"/>
                <w:color w:val="000000"/>
                <w:sz w:val="24"/>
                <w:szCs w:val="24"/>
                <w:highlight w:val="none"/>
                <w:lang w:eastAsia="zh-CN"/>
              </w:rPr>
              <w:t xml:space="preserve">发现一路段扣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809"/>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杂草、杂物清除</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发现杂草较多较长影响景观效果；未及时清除，或死树、枯枝、枯叶、毁绿种菜、建筑垃圾等，发现</w:t>
            </w:r>
            <w:r>
              <w:rPr>
                <w:rFonts w:hint="eastAsia" w:ascii="宋体" w:hAnsi="宋体" w:eastAsia="宋体" w:cs="宋体"/>
                <w:color w:val="000000"/>
                <w:sz w:val="24"/>
                <w:szCs w:val="24"/>
                <w:highlight w:val="none"/>
                <w:lang w:val="en-US" w:eastAsia="zh-CN"/>
              </w:rPr>
              <w:t xml:space="preserve">一</w:t>
            </w:r>
            <w:r>
              <w:rPr>
                <w:rFonts w:ascii="宋体" w:hAnsi="宋体" w:eastAsia="宋体" w:cs="宋体"/>
                <w:color w:val="000000"/>
                <w:sz w:val="24"/>
                <w:szCs w:val="24"/>
                <w:highlight w:val="none"/>
                <w:lang w:eastAsia="zh-CN"/>
              </w:rPr>
              <w:t xml:space="preserve">处</w:t>
            </w:r>
            <w:r>
              <w:rPr>
                <w:rFonts w:hint="eastAsia" w:ascii="宋体" w:hAnsi="宋体" w:eastAsia="宋体" w:cs="宋体"/>
                <w:color w:val="000000"/>
                <w:sz w:val="24"/>
                <w:szCs w:val="24"/>
                <w:highlight w:val="none"/>
                <w:lang w:eastAsia="zh-CN"/>
              </w:rPr>
              <w:t xml:space="preserve">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409"/>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松土</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未按要求打孔、松土，开挖边沟等，</w:t>
            </w:r>
            <w:r>
              <w:rPr>
                <w:rFonts w:hint="eastAsia" w:ascii="宋体" w:hAnsi="宋体" w:eastAsia="宋体" w:cs="宋体"/>
                <w:color w:val="000000"/>
                <w:sz w:val="24"/>
                <w:szCs w:val="24"/>
                <w:highlight w:val="none"/>
                <w:lang w:eastAsia="zh-CN"/>
              </w:rPr>
              <w:t xml:space="preserve">发现一路段扣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550"/>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缺株补种</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空秃、缺株未按要求补种，</w:t>
            </w:r>
            <w:r>
              <w:rPr>
                <w:rFonts w:hint="eastAsia" w:ascii="宋体" w:hAnsi="宋体" w:eastAsia="宋体" w:cs="宋体"/>
                <w:color w:val="000000"/>
                <w:sz w:val="24"/>
                <w:szCs w:val="24"/>
                <w:highlight w:val="none"/>
                <w:lang w:eastAsia="zh-CN"/>
              </w:rPr>
              <w:t xml:space="preserve">发现</w:t>
            </w:r>
            <w:r>
              <w:rPr>
                <w:rFonts w:hint="eastAsia" w:ascii="宋体" w:hAnsi="宋体" w:eastAsia="宋体" w:cs="宋体"/>
                <w:color w:val="000000"/>
                <w:sz w:val="24"/>
                <w:szCs w:val="24"/>
                <w:highlight w:val="none"/>
                <w:lang w:val="en-US" w:eastAsia="zh-CN"/>
              </w:rPr>
              <w:t xml:space="preserve">一</w:t>
            </w:r>
            <w:r>
              <w:rPr>
                <w:rFonts w:ascii="宋体" w:hAnsi="宋体" w:eastAsia="宋体" w:cs="宋体"/>
                <w:color w:val="000000"/>
                <w:sz w:val="24"/>
                <w:szCs w:val="24"/>
                <w:highlight w:val="none"/>
                <w:lang w:eastAsia="zh-CN"/>
              </w:rPr>
              <w:t xml:space="preserve">处</w:t>
            </w:r>
            <w:r>
              <w:rPr>
                <w:rFonts w:hint="eastAsia" w:ascii="宋体" w:hAnsi="宋体" w:eastAsia="宋体" w:cs="宋体"/>
                <w:color w:val="000000"/>
                <w:sz w:val="24"/>
                <w:szCs w:val="24"/>
                <w:highlight w:val="none"/>
                <w:lang w:eastAsia="zh-CN"/>
              </w:rPr>
              <w:t xml:space="preserve">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403"/>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施肥</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每年冬春两季是否按要求、质量完成有机肥和返青肥的施肥任务，发现一路段扣</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712"/>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防冻保暖涂白</w:t>
            </w:r>
            <w:r>
              <w:rPr>
                <w:rFonts w:ascii="宋体" w:hAnsi="宋体" w:eastAsia="宋体" w:cs="宋体"/>
                <w:color w:val="000000"/>
                <w:sz w:val="24"/>
                <w:szCs w:val="24"/>
                <w:highlight w:val="none"/>
                <w:lang w:eastAsia="zh-CN"/>
              </w:rPr>
            </w:r>
            <w:r/>
          </w:p>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（或移除）</w:t>
            </w:r>
            <w:r>
              <w:rPr>
                <w:rFonts w:ascii="宋体" w:hAnsi="宋体" w:eastAsia="宋体" w:cs="宋体"/>
                <w:color w:val="000000"/>
                <w:sz w:val="24"/>
                <w:szCs w:val="24"/>
                <w:highlight w:val="none"/>
                <w:lang w:eastAsia="zh-CN"/>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刷白不及时、刷白使用材料质量不符合要求、刷白不统一整齐，发现一处扣0.5分。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864"/>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甲方安排的整改任务，未及时完成的，扣</w:t>
            </w:r>
            <w:r>
              <w:rPr>
                <w:rFonts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879"/>
        </w:trPr>
        <w:tc>
          <w:tcPr>
            <w:gridSpan w:val="3"/>
            <w:tcW w:w="8512"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得分汇总</w:t>
            </w:r>
            <w:r>
              <w:rPr>
                <w:rFonts w:ascii="宋体" w:hAnsi="宋体" w:eastAsia="宋体" w:cs="宋体"/>
                <w:b/>
                <w:bCs/>
                <w:color w:val="000000"/>
                <w:sz w:val="24"/>
                <w:szCs w:val="24"/>
                <w:highlight w:val="none"/>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68"/>
        <w:ind w:right="0"/>
        <w:jc w:val="center"/>
        <w:keepLines w:val="0"/>
        <w:keepNext w:val="0"/>
        <w:pageBreakBefore w:val="0"/>
        <w:spacing w:line="360" w:lineRule="auto"/>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hint="eastAsia" w:ascii="宋体" w:hAnsi="宋体"/>
          <w:b/>
          <w:color w:val="000000"/>
          <w:sz w:val="36"/>
          <w:szCs w:val="36"/>
          <w:highlight w:val="none"/>
          <w:lang w:val="en-US" w:eastAsia="zh-CN"/>
        </w:rPr>
        <w:t xml:space="preserve">保洁</w:t>
      </w:r>
      <w:r>
        <w:rPr>
          <w:rFonts w:hint="eastAsia" w:ascii="宋体" w:hAnsi="宋体"/>
          <w:b/>
          <w:color w:val="000000"/>
          <w:sz w:val="36"/>
          <w:szCs w:val="36"/>
          <w:highlight w:val="none"/>
        </w:rPr>
        <w:t xml:space="preserve">劳务作业项目管理考核评分表（50分）</w:t>
      </w:r>
      <w:r>
        <w:rPr>
          <w:rFonts w:ascii="宋体" w:hAnsi="宋体"/>
          <w:b/>
          <w:color w:val="000000"/>
          <w:sz w:val="36"/>
          <w:szCs w:val="36"/>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331"/>
        <w:gridCol w:w="3170"/>
        <w:gridCol w:w="3430"/>
        <w:gridCol w:w="774"/>
      </w:tblGrid>
      <w:tr>
        <w:trPr>
          <w:trHeight w:val="600"/>
        </w:trPr>
        <w:tc>
          <w:tcPr>
            <w:tcW w:w="313"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项目</w:t>
            </w:r>
            <w:r>
              <w:rPr>
                <w:rFonts w:ascii="宋体" w:hAnsi="宋体" w:eastAsia="宋体" w:cs="宋体"/>
                <w:b/>
                <w:bCs/>
                <w:color w:val="000000"/>
                <w:sz w:val="24"/>
                <w:szCs w:val="24"/>
                <w:highlight w:val="none"/>
              </w:rPr>
            </w:r>
            <w:r/>
          </w:p>
        </w:tc>
        <w:tc>
          <w:tcPr>
            <w:tcW w:w="7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小类名称</w:t>
            </w:r>
            <w:r>
              <w:rPr>
                <w:rFonts w:ascii="宋体" w:hAnsi="宋体" w:eastAsia="宋体" w:cs="宋体"/>
                <w:b/>
                <w:bCs/>
                <w:color w:val="000000"/>
                <w:sz w:val="24"/>
                <w:szCs w:val="24"/>
                <w:highlight w:val="none"/>
              </w:rPr>
            </w:r>
            <w:r/>
          </w:p>
        </w:tc>
        <w:tc>
          <w:tcPr>
            <w:tcW w:w="170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作业要求</w:t>
            </w:r>
            <w:r>
              <w:rPr>
                <w:rFonts w:ascii="宋体" w:hAnsi="宋体" w:eastAsia="宋体" w:cs="宋体"/>
                <w:b/>
                <w:bCs/>
                <w:color w:val="000000"/>
                <w:sz w:val="24"/>
                <w:szCs w:val="24"/>
                <w:highlight w:val="none"/>
              </w:rPr>
            </w:r>
            <w:r/>
          </w:p>
        </w:tc>
        <w:tc>
          <w:tcPr>
            <w:tcW w:w="184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评分细则及扣分标准</w:t>
            </w:r>
            <w:r>
              <w:rPr>
                <w:rFonts w:ascii="宋体" w:hAnsi="宋体" w:eastAsia="宋体" w:cs="宋体"/>
                <w:b/>
                <w:bCs/>
                <w:color w:val="000000"/>
                <w:sz w:val="24"/>
                <w:szCs w:val="24"/>
                <w:highlight w:val="none"/>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bidi="ar"/>
              </w:rPr>
              <w:t xml:space="preserve">扣分</w:t>
            </w:r>
            <w:r>
              <w:rPr>
                <w:rFonts w:hint="eastAsia" w:ascii="宋体" w:hAnsi="宋体" w:eastAsia="宋体" w:cs="宋体"/>
                <w:b/>
                <w:bCs/>
                <w:color w:val="000000"/>
                <w:sz w:val="24"/>
                <w:szCs w:val="24"/>
                <w:highlight w:val="none"/>
                <w:lang w:eastAsia="zh-CN"/>
              </w:rPr>
            </w:r>
            <w:r/>
          </w:p>
        </w:tc>
      </w:tr>
      <w:tr>
        <w:trPr>
          <w:trHeight w:val="525"/>
        </w:trPr>
        <w:tc>
          <w:tcPr>
            <w:tcW w:w="313" w:type="dxa"/>
            <w:vAlign w:val="center"/>
            <w:vMerge w:val="restart"/>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一、作业质量考核</w:t>
            </w: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（一）道路及绿化带保洁</w:t>
            </w: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道路清扫保洁，无积尘，路面无沙石，窨井口保持通畅，边角无淤泥，无瓜皮果壳、纸屑、烟蒂、废弃物等，无垃圾包、暴露垃圾、污水沟及动物尸体</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发现有瓜皮果壳、纸屑、烟蒂、废弃物，一处扣0.1分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65"/>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发现有污水，窨井口不通畅，一处扣0.</w:t>
            </w: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42"/>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发现有积尘、边角有淤泥、路面有沙石、垃圾包、暴露垃圾及动物尸体，一处扣0.</w:t>
            </w: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74"/>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路面、绿化带及公共场所无焚烧垃圾现象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发现焚烧现象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一处扣0.3分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绿化带、绿化隔离带、行道树穴内无烟头、杂物、垃圾、建筑垃圾</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绿化带、绿化隔离带、行道树穴有烟头(每1平方米为1处）、杂物、垃圾、建筑垃圾，发现一处扣0.2分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道路上无乱堆乱放生活垃圾和建筑垃圾，无占用道路和绿化带现象，作业单位及时处理或上报存在问题</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未及时处理或上报，一次扣0.2分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园区、社区村组专人负责清扫保洁、无垃圾包、暴露垃圾、污水积存</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发现有垃圾包、暴露垃圾、污水积存，一处扣0.</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（二）高速公路出入口保洁</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高速公路出入口无垃圾包，暴露垃圾，无积尘</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发现有垃圾包、暴露垃圾、积尘，一处扣0.2分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（三）绿道、绿地清扫保洁</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街头绿地无烟头、杂物、垃圾</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绿地有烟头(每平方米≧3个）、杂物、垃圾，发现一处扣0.2分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(四)道板保洁</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道板定时冲洗无积尘、无油污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道板有积尘、有油污痕迹，一处扣0.3分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(五)盘口、斑马线保洁</w:t>
            </w:r>
            <w:r>
              <w:rPr>
                <w:rFonts w:hint="eastAsia" w:ascii="宋体" w:hAnsi="宋体" w:eastAsia="宋体" w:cs="宋体"/>
                <w:color w:val="000000"/>
                <w:sz w:val="24"/>
                <w:szCs w:val="24"/>
                <w:highlight w:val="none"/>
                <w:lang w:bidi="ar"/>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盘口、斑马线无污迹、积尘</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盘口、斑马线有明显积尘、污迹，一处扣0.3分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(六)道路、道板、绿化带落叶清扫</w:t>
            </w:r>
            <w:r>
              <w:rPr>
                <w:rFonts w:hint="eastAsia" w:ascii="宋体" w:hAnsi="宋体" w:eastAsia="宋体" w:cs="宋体"/>
                <w:color w:val="000000"/>
                <w:sz w:val="24"/>
                <w:szCs w:val="24"/>
                <w:highlight w:val="none"/>
                <w:lang w:bidi="ar"/>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道路、道板无明显大片落叶堆积</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发现落叶未及时清扫的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一次扣0.5分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(七)路面渣土、混凝土管理</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路面遗漏渣土、混凝土及时处理并上报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未及时处理并上报，一次扣0.2分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（八）果壳箱、垃圾桶保洁</w:t>
            </w: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果壳箱、垃圾桶设施完好，箱体、桶体干净整洁、无乱张贴、乱涂写、箱内(桶内)垃圾及时清理，周边无垃圾，箱体、桶体垃圾分类标识干净、清晰</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发现果壳箱、垃圾桶破损</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一处扣0.1分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发现果壳箱(垃圾桶)内垃圾超出檐口，箱体(桶体)不整洁，有乱张贴、乱涂写，一处扣0.2分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表面垃圾分类标识缺失、有污迹，一处扣0.2分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发现果壳箱(垃圾桶)周边脏乱，一处扣0.2分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垃圾桶设置规范</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垃圾桶设置必须经过批准，擅自设置垃圾桶的，一处扣0.2分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垃圾桶设置间隔距离≧100米，地面必须硬化，不符合规定的每处扣0.2分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(九)清扫任务</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未按合同规定时间完成清扫任务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发现一次扣</w:t>
            </w:r>
            <w:r>
              <w:rPr>
                <w:rFonts w:ascii="宋体" w:hAnsi="宋体" w:eastAsia="宋体" w:cs="宋体"/>
                <w:color w:val="000000"/>
                <w:sz w:val="24"/>
                <w:szCs w:val="24"/>
                <w:highlight w:val="none"/>
                <w:lang w:bidi="ar"/>
              </w:rPr>
              <w:t xml:space="preserve">0.5</w:t>
            </w:r>
            <w:r>
              <w:rPr>
                <w:rFonts w:hint="eastAsia" w:ascii="宋体" w:hAnsi="宋体" w:eastAsia="宋体" w:cs="宋体"/>
                <w:color w:val="000000"/>
                <w:sz w:val="24"/>
                <w:szCs w:val="24"/>
                <w:highlight w:val="none"/>
                <w:lang w:bidi="ar"/>
              </w:rPr>
              <w:t xml:space="preserve">分，因不可抗因素不能及时完成清扫任务的，需提前向上报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（十）公厕管理</w:t>
            </w: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公厕设施完好，排水通畅，无粪便淤塞，保洁及时，内部整洁，厕所内无明显臭味，无乱张贴、乱涂写</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公厕收费、设施破损或缺失，发现一次扣0.1分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公厕排水不畅，粪便淤塞，发现一次扣0.2分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公厕内外脏乱，有乱张贴乱涂写，发现一处扣0.1分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公厕设施维修需挂维修牌，维修时间参照市级长效管理考核细则，维修时间超过五个工作日的需书面上报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维修中未挂维修牌的，发现一处扣0.2分；未按规定时间完成修理的，每处扣0.2分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并根据修理时间进行累计扣分，未及时上报的每处扣0.5分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专人看管公厕，工作时间工人不得无故脱岗，因故缺岗的需提前做好补岗工作</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发现无故脱岗或未做好补岗工作的，每次扣1分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(十一)转运站管理</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管理用房(辅助用房)干净、整洁，不得堆放垃圾杂物、不得损坏消防设施，不得有安全隐患</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管理用房(辅助用房)不干净、整洁，发现一项不符合规定的扣0.2分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有安全隐患的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每处扣1分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设施设备运行按规定开启，不得用作它途或擅自关闭</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发现未按规定开启设施设备的，扣1分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转运站不得用作它途及擅自关闭，需调整用途的必须上报区环管中心批准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擅自关闭或用作它途的，每发现一处扣</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健全设备管理制度，做好压缩设备、水泵、中转箱等设备日常维修、维护和保养的管理台账</w:t>
            </w: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制度、台账资料不完整的，每项扣0.2分</w:t>
            </w:r>
            <w:r>
              <w:rPr>
                <w:rFonts w:ascii="宋体" w:hAnsi="宋体" w:eastAsia="宋体" w:cs="宋体"/>
                <w:color w:val="000000"/>
                <w:sz w:val="24"/>
                <w:szCs w:val="24"/>
                <w:highlight w:val="none"/>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做好设施设备的定时保养检查工作，确保设施设备正常运转</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未按时保养设施、设备的，按扣</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不得使用假冒伪劣或指标不符合要求的环保耗材</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发现假冒伪劣或指标不符合要求环保耗材的，扣</w:t>
            </w:r>
            <w:r>
              <w:rPr>
                <w:rFonts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(十二)公厕、转运站内部管理</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公厕、转运站、工人休息点等环卫设施标示标语要明确清晰，外部显眼处按要求明确公示开放时间，并按时开放</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标识标语字迹模糊不清的，每处扣0.2分；未按公示时间准时开放，每次扣0.2分；未明确公示开放时间的，每处扣0.5分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做好公厕、转运站、工人休息点等环卫设施的用水用电管理，车辆不允许进入室内充电，不得私拉乱接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发现不符合规定的，每处扣1分；未做好管理，发现漏水可偷电现象每次扣1分；用水用电量超出核定表范围的费用自行承担，并进行年度考核，每超出一处扣1分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做好公厕、转运站、工人休息点等环卫设施的安全管理，出现重大安全事故或质量事故，应第一时间上报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因管理不到位，出现火灾等重大安全事故的，</w:t>
            </w:r>
            <w:r>
              <w:rPr>
                <w:rFonts w:hint="eastAsia" w:ascii="宋体" w:hAnsi="宋体" w:eastAsia="宋体" w:cs="宋体"/>
                <w:b/>
                <w:color w:val="000000"/>
                <w:sz w:val="24"/>
                <w:szCs w:val="24"/>
                <w:highlight w:val="none"/>
                <w:lang w:bidi="ar"/>
              </w:rPr>
              <w:t xml:space="preserve">即为</w:t>
            </w:r>
            <w:r>
              <w:rPr>
                <w:rFonts w:ascii="宋体" w:hAnsi="宋体" w:eastAsia="宋体" w:cs="宋体"/>
                <w:b/>
                <w:color w:val="000000"/>
                <w:sz w:val="24"/>
                <w:szCs w:val="24"/>
                <w:highlight w:val="none"/>
                <w:lang w:bidi="ar"/>
              </w:rPr>
              <w:t xml:space="preserve">不合格</w:t>
            </w:r>
            <w:r>
              <w:rPr>
                <w:rFonts w:hint="eastAsia" w:ascii="宋体" w:hAnsi="宋体" w:eastAsia="宋体" w:cs="宋体"/>
                <w:b/>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未及时上报的，扣</w:t>
            </w:r>
            <w:r>
              <w:rPr>
                <w:rFonts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（十三）环卫车辆作业考核</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区内机扫、洒水、清洗等车辆必须安装GPS视频监控系统，并确保正常运转</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作业车辆未安装GPS的每辆扣1分，GPS因人为遮挡、拔除电源等人为原因运行不正常的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每辆扣0.</w:t>
            </w:r>
            <w:r>
              <w:rPr>
                <w:rFonts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机械化作业路段，作业时间、频次达到《常州市城市道路机械化作业管理办法》中的规定</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作业车辆未按规定完成作业频次的，每条道路扣0.2分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99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车辆作业时按规定开启警示灯或发送警示信号，喷水压尘、刷盘放置到位，扫地、清洗车车速不超过12公里/小时，洒水车车速不超过30公里/小时，冲洗车车速不超过15公里/小时，清运车辆不超过65公里/小时，进入焚烧厂时的车速不超过15公里/小时</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开启警示灯或未发送警示信号，喷水压尘、刷盘放置不到位，扫地车、清洗车车速超过12公里/小时，洒水车车速超过30公里/小时，冲洗车车速超过15公里/小时，清运车辆车速超过65公里/小时，进入焚烧厂时的车速超过15公里/小时的，每发现一处扣0.2分/项</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车容车貌保持干净、整洁，生活垃圾转运箱箱体保持干净、整洁，无破损和锈蚀现象，运输过程中无跑冒滴漏、垃圾外挂现象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车容车貌不达要求的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每发现一处扣0.2分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箱体破损、跑冒滴漏和垃圾外挂的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每发现一处扣0.2分；污水滴漏超过60滴/分钟的，扣</w:t>
            </w:r>
            <w:r>
              <w:rPr>
                <w:rFonts w:ascii="宋体" w:hAnsi="宋体" w:eastAsia="宋体" w:cs="宋体"/>
                <w:color w:val="000000"/>
                <w:sz w:val="24"/>
                <w:szCs w:val="24"/>
                <w:highlight w:val="none"/>
                <w:lang w:bidi="ar"/>
              </w:rPr>
              <w:t xml:space="preserve">0.2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严禁私自外接污水清运</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发现有私自清运污水进入焚烧厂或垃圾转运站处理的情况，按扣</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环卫清扫车辆按作业任务规范作业，严禁空驶漏扫以及扬尘、边扫边漏现象存在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作业车辆不按作业任务完成作业，无客观原因(如路边停车、道路维修等)出现不扫、漏扫情况，发现一次扣1分；清扫过程中出现大面积扬尘和边扫边漏的，发现一次扣0.5分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restart"/>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二、安全和文明作业考核</w:t>
            </w: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(一)安全教育工作</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加强安全教育工作，并做好台账，每月组织开展不少于1次的全员安全培训工作</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无台账的发现一项不符合规定的扣0.2分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未按计划组织培训每次扣0.5分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(二)安全管理制度和措施</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遵守甲方安全管理制度和措施，切实履行安全主体责任，并加强安全自检管理工作</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未遵守甲方管理制度和措施的，发现一项扣0.2分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未进行安全自检工作的，每次扣0.5分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(三)车辆安全</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健全环卫车辆维护管理制度，建立车辆自检及报修台账</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制度、台账资料不完整的，每项扣1分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做好车辆的日常保养和自检工作，专人负责车辆的日常安全管理，发生重大安全责任事故应第一时间上报，普通安全责任事故的应在24小时内上报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发生安全责任事故造成车辆及其它损失的，扣</w:t>
            </w:r>
            <w:r>
              <w:rPr>
                <w:rFonts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t xml:space="preserve">分。(交通事故按责任比例划分)</w:t>
            </w:r>
            <w:r>
              <w:rPr>
                <w:rFonts w:ascii="宋体" w:hAnsi="宋体" w:eastAsia="宋体" w:cs="宋体"/>
                <w:color w:val="000000"/>
                <w:sz w:val="24"/>
                <w:szCs w:val="24"/>
                <w:highlight w:val="none"/>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未及时上</w:t>
            </w:r>
            <w:r>
              <w:rPr>
                <w:rFonts w:hint="eastAsia" w:ascii="宋体" w:hAnsi="宋体" w:eastAsia="宋体" w:cs="宋体"/>
                <w:color w:val="000000"/>
                <w:sz w:val="24"/>
                <w:szCs w:val="24"/>
                <w:highlight w:val="none"/>
                <w:lang w:val="en-US" w:eastAsia="zh-CN" w:bidi="ar"/>
              </w:rPr>
              <w:t xml:space="preserve">报</w:t>
            </w:r>
            <w:r>
              <w:rPr>
                <w:rFonts w:hint="eastAsia" w:ascii="宋体" w:hAnsi="宋体" w:eastAsia="宋体" w:cs="宋体"/>
                <w:color w:val="000000"/>
                <w:sz w:val="24"/>
                <w:szCs w:val="24"/>
                <w:highlight w:val="none"/>
                <w:lang w:bidi="ar"/>
              </w:rPr>
              <w:t xml:space="preserve">的，扣</w:t>
            </w:r>
            <w:r>
              <w:rPr>
                <w:rFonts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(四)作业人员安全管理</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作业人员严格遵守交通法规作业</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未按交通法规进行作业的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一次扣0.5分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作业人员作业时必须按规定着环卫工作服</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未按规定着环卫工作服的，每人扣0.1分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(五)作业人员劳动纪律</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按规定时间上岗完成规定的作业量</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未按规定时间上岗的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每次扣0.</w:t>
            </w:r>
            <w:r>
              <w:rPr>
                <w:rFonts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t xml:space="preserve">分/人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(六)意外险购买</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为作业人员购买人身意外险</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发现未购买作业人员人身意外险，每人扣0.2分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(七)舆情、市民投诉</w:t>
            </w: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做好日常服务工作，无相关投诉，无不良舆情</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有市民投诉经查证属实的，每次扣0.5分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形成网络舆情的，每次扣1分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因生活垃圾收运造成市民投诉或相关部门反映的、经查证属实的，扣0.5分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因媒体负面曝光的，经查证属实的，扣</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restart"/>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三、其它工作考核</w:t>
            </w:r>
            <w:r>
              <w:rPr>
                <w:rFonts w:ascii="宋体" w:hAnsi="宋体" w:eastAsia="宋体" w:cs="宋体"/>
                <w:color w:val="000000"/>
                <w:sz w:val="24"/>
                <w:szCs w:val="24"/>
                <w:highlight w:val="none"/>
              </w:rPr>
            </w:r>
            <w:r/>
          </w:p>
        </w:tc>
        <w:tc>
          <w:tcPr>
            <w:tcW w:w="716" w:type="dxa"/>
            <w:vAlign w:val="center"/>
            <w:vMerge w:val="restart"/>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(一)市、区、镇级考核</w:t>
            </w: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市城市长效管理考核、文明城市考核、卫生城市考核</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被市城市长效管理考评扣分，一个</w:t>
            </w:r>
            <w:r>
              <w:rPr>
                <w:rFonts w:ascii="宋体" w:hAnsi="宋体" w:eastAsia="宋体" w:cs="宋体"/>
                <w:color w:val="000000"/>
                <w:sz w:val="24"/>
                <w:szCs w:val="24"/>
                <w:highlight w:val="none"/>
                <w:lang w:bidi="ar"/>
              </w:rPr>
              <w:t xml:space="preserve">问题</w:t>
            </w:r>
            <w:r>
              <w:rPr>
                <w:rFonts w:hint="eastAsia" w:ascii="宋体" w:hAnsi="宋体" w:eastAsia="宋体" w:cs="宋体"/>
                <w:color w:val="000000"/>
                <w:sz w:val="24"/>
                <w:szCs w:val="24"/>
                <w:highlight w:val="none"/>
                <w:lang w:bidi="ar"/>
              </w:rPr>
              <w:t xml:space="preserve">扣</w:t>
            </w: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区级城市长效管理考核、文明城市考核、卫生城市考核</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被区城市长效管理考评和区环卫处考评扣分，一个</w:t>
            </w:r>
            <w:r>
              <w:rPr>
                <w:rFonts w:ascii="宋体" w:hAnsi="宋体" w:eastAsia="宋体" w:cs="宋体"/>
                <w:color w:val="000000"/>
                <w:sz w:val="24"/>
                <w:szCs w:val="24"/>
                <w:highlight w:val="none"/>
                <w:lang w:bidi="ar"/>
              </w:rPr>
              <w:t xml:space="preserve">问题</w:t>
            </w:r>
            <w:r>
              <w:rPr>
                <w:rFonts w:hint="eastAsia" w:ascii="宋体" w:hAnsi="宋体" w:eastAsia="宋体" w:cs="宋体"/>
                <w:color w:val="000000"/>
                <w:sz w:val="24"/>
                <w:szCs w:val="24"/>
                <w:highlight w:val="none"/>
                <w:lang w:bidi="ar"/>
              </w:rPr>
              <w:t xml:space="preserve">扣</w:t>
            </w: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镇级城市长效管理考核、文明城市考核、卫生城市考核</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被镇考评组日常管理考评扣分，一个</w:t>
            </w:r>
            <w:r>
              <w:rPr>
                <w:rFonts w:ascii="宋体" w:hAnsi="宋体" w:eastAsia="宋体" w:cs="宋体"/>
                <w:color w:val="000000"/>
                <w:sz w:val="24"/>
                <w:szCs w:val="24"/>
                <w:highlight w:val="none"/>
                <w:lang w:bidi="ar"/>
              </w:rPr>
              <w:t xml:space="preserve">问题</w:t>
            </w:r>
            <w:r>
              <w:rPr>
                <w:rFonts w:hint="eastAsia" w:ascii="宋体" w:hAnsi="宋体" w:eastAsia="宋体" w:cs="宋体"/>
                <w:color w:val="000000"/>
                <w:sz w:val="24"/>
                <w:szCs w:val="24"/>
                <w:highlight w:val="none"/>
                <w:lang w:bidi="ar"/>
              </w:rPr>
              <w:t xml:space="preserve">扣</w:t>
            </w:r>
            <w:r>
              <w:rPr>
                <w:rFonts w:ascii="宋体" w:hAnsi="宋体" w:eastAsia="宋体" w:cs="宋体"/>
                <w:color w:val="000000"/>
                <w:sz w:val="24"/>
                <w:szCs w:val="24"/>
                <w:highlight w:val="none"/>
                <w:lang w:bidi="ar"/>
              </w:rPr>
              <w:t xml:space="preserve">0.2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(二)下达的工作任务管理</w:t>
            </w: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按要求完成下达的各项业务工作任务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未能按规定时间和标准完成的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每次扣5分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(三)重大活动、雨雪灾害天气保障工作</w:t>
            </w: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按相关规定和预案做好保障和应急工作</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未按规定做好保障和应急工作的，每次扣5分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（四）资源保障</w:t>
            </w: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有健全的组织机构及服务制度，联系顺畅、沟通有效</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服务组织机构及人员职责不清，遇事推诿，联系困难等，每次扣5分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gridSpan w:val="4"/>
            <w:tcW w:w="8514" w:type="dxa"/>
            <w:vAlign w:val="center"/>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得分汇总</w:t>
            </w:r>
            <w:r>
              <w:rPr>
                <w:rFonts w:ascii="宋体" w:hAnsi="宋体" w:eastAsia="宋体" w:cs="宋体"/>
                <w:color w:val="000000"/>
                <w:sz w:val="24"/>
                <w:szCs w:val="24"/>
                <w:highlight w:val="none"/>
              </w:rPr>
            </w:r>
            <w:r/>
          </w:p>
        </w:tc>
        <w:tc>
          <w:tcPr>
            <w:tcW w:w="416" w:type="dxa"/>
            <w:vAlign w:val="bottom"/>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68"/>
        <w:ind w:right="0"/>
        <w:jc w:val="center"/>
        <w:keepLines w:val="0"/>
        <w:keepNext w:val="0"/>
        <w:pageBreakBefore w:val="0"/>
        <w:spacing w:line="360" w:lineRule="auto"/>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107"/>
        <w:spacing w:line="360" w:lineRule="auto"/>
        <w:rPr>
          <w:rFonts w:hint="eastAsia" w:ascii="宋体" w:hAnsi="宋体" w:eastAsia="宋体" w:cs="宋体"/>
          <w:color w:val="000000"/>
          <w:sz w:val="24"/>
          <w:szCs w:val="24"/>
          <w:highlight w:val="none"/>
        </w:rPr>
      </w:pPr>
      <w:r/>
      <w:bookmarkStart w:id="816" w:name="_Toc99301426"/>
      <w:r>
        <w:rPr>
          <w:rFonts w:hint="eastAsia" w:ascii="宋体" w:hAnsi="宋体" w:eastAsia="宋体" w:cs="宋体"/>
          <w:b/>
          <w:color w:val="000000"/>
          <w:sz w:val="24"/>
          <w:szCs w:val="24"/>
          <w:highlight w:val="none"/>
          <w:lang w:val="zh-CN"/>
        </w:rPr>
        <w:t xml:space="preserve">招标人（以下称甲</w:t>
      </w:r>
      <w:r>
        <w:rPr>
          <w:rFonts w:hint="eastAsia" w:ascii="宋体" w:hAnsi="宋体" w:eastAsia="宋体" w:cs="宋体"/>
          <w:b/>
          <w:color w:val="000000"/>
          <w:sz w:val="24"/>
          <w:szCs w:val="24"/>
          <w:highlight w:val="none"/>
        </w:rPr>
        <w:t xml:space="preserve">方）: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rPr>
      </w:r>
      <w:r/>
    </w:p>
    <w:p>
      <w:pPr>
        <w:pStyle w:val="110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投标人（</w:t>
      </w:r>
      <w:r>
        <w:rPr>
          <w:rFonts w:hint="eastAsia" w:ascii="宋体" w:hAnsi="宋体" w:eastAsia="宋体" w:cs="宋体"/>
          <w:b/>
          <w:color w:val="000000"/>
          <w:sz w:val="24"/>
          <w:szCs w:val="24"/>
          <w:highlight w:val="none"/>
          <w:lang w:val="zh-CN"/>
        </w:rPr>
        <w:t xml:space="preserve">以下称</w:t>
      </w:r>
      <w:r>
        <w:rPr>
          <w:rFonts w:hint="eastAsia" w:ascii="宋体" w:hAnsi="宋体" w:eastAsia="宋体" w:cs="宋体"/>
          <w:b/>
          <w:color w:val="000000"/>
          <w:sz w:val="24"/>
          <w:szCs w:val="24"/>
          <w:highlight w:val="none"/>
        </w:rPr>
        <w:t xml:space="preserve">乙方）: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u w:val="single"/>
        </w:rPr>
      </w:r>
      <w:r/>
    </w:p>
    <w:p>
      <w:pPr>
        <w:pStyle w:val="1084"/>
        <w:ind w:firstLine="55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b/>
          <w:color w:val="000000"/>
          <w:sz w:val="24"/>
          <w:szCs w:val="24"/>
          <w:highlight w:val="none"/>
        </w:rPr>
      </w:r>
      <w:r/>
    </w:p>
    <w:p>
      <w:pPr>
        <w:pStyle w:val="11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highlight w:val="none"/>
        </w:rPr>
      </w:r>
      <w:r/>
    </w:p>
    <w:p>
      <w:pPr>
        <w:pStyle w:val="110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1068"/>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乙方根据甲方需求提供下列服务：         ，</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0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107"/>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元</w:t>
      </w:r>
      <w:r>
        <w:rPr>
          <w:rFonts w:hint="eastAsia" w:ascii="宋体" w:hAnsi="宋体" w:eastAsia="宋体" w:cs="宋体"/>
          <w:b/>
          <w:color w:val="000000"/>
          <w:sz w:val="24"/>
          <w:szCs w:val="24"/>
          <w:highlight w:val="none"/>
        </w:rPr>
        <w:t xml:space="preserve">（小写       ）。 </w:t>
      </w:r>
      <w:r>
        <w:rPr>
          <w:rFonts w:hint="eastAsia" w:ascii="宋体" w:hAnsi="宋体" w:eastAsia="宋体" w:cs="宋体"/>
          <w:b/>
          <w:color w:val="000000"/>
          <w:sz w:val="24"/>
          <w:szCs w:val="24"/>
          <w:highlight w:val="none"/>
        </w:rPr>
      </w:r>
      <w:r/>
    </w:p>
    <w:p>
      <w:pPr>
        <w:pStyle w:val="11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color w:val="000000"/>
          <w:sz w:val="24"/>
          <w:szCs w:val="24"/>
          <w:highlight w:val="none"/>
        </w:rPr>
      </w:r>
      <w:r/>
    </w:p>
    <w:p>
      <w:pPr>
        <w:pStyle w:val="110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第三条 合同履行期限</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本项目服务期限为三年（   年  月   日-   年  月  日），合同一年一签。本合同履行期限自    年  月  日至   年  月  日。其中：前三个月为试用期，试用期满须经甲方考核，考核不合格，甲方有权解除合同。每年合同期满经甲方考核合格后续签下一年度合同。</w:t>
      </w:r>
      <w:r>
        <w:rPr>
          <w:rFonts w:hint="eastAsia" w:ascii="宋体" w:hAnsi="宋体" w:eastAsia="宋体" w:cs="宋体"/>
          <w:color w:val="000000"/>
          <w:sz w:val="24"/>
          <w:szCs w:val="24"/>
          <w:highlight w:val="none"/>
        </w:rPr>
      </w:r>
      <w:r/>
    </w:p>
    <w:p>
      <w:pPr>
        <w:pStyle w:val="110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 组成本合同的有关文件</w:t>
      </w:r>
      <w:r>
        <w:rPr>
          <w:rFonts w:hint="eastAsia" w:ascii="宋体" w:hAnsi="宋体" w:eastAsia="宋体" w:cs="宋体"/>
          <w:b/>
          <w:color w:val="000000"/>
          <w:sz w:val="24"/>
          <w:szCs w:val="24"/>
          <w:highlight w:val="none"/>
        </w:rPr>
      </w:r>
      <w:r/>
    </w:p>
    <w:p>
      <w:pPr>
        <w:pStyle w:val="11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1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（1）招标采购文件（编号：   ）           （2）乙方提供的投标文件； </w:t>
      </w:r>
      <w:r>
        <w:rPr>
          <w:rFonts w:hint="eastAsia" w:ascii="宋体" w:hAnsi="宋体" w:eastAsia="宋体" w:cs="宋体"/>
          <w:color w:val="000000"/>
          <w:sz w:val="24"/>
          <w:szCs w:val="24"/>
          <w:highlight w:val="none"/>
        </w:rPr>
      </w:r>
      <w:r/>
    </w:p>
    <w:p>
      <w:pPr>
        <w:pStyle w:val="11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（3）中标通知书；                        （4）甲乙双方商定的其他文件等。</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第五条 合同款结算及支付</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3.结算原则：固定总价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rPr>
        <w:t xml:space="preserve">4.付款方式：</w:t>
      </w:r>
      <w:r>
        <w:rPr>
          <w:rFonts w:hint="eastAsia" w:ascii="宋体" w:hAnsi="宋体" w:eastAsia="宋体" w:cs="宋体"/>
          <w:b/>
          <w:bCs/>
          <w:color w:val="000000"/>
          <w:sz w:val="24"/>
          <w:szCs w:val="24"/>
          <w:highlight w:val="none"/>
          <w:lang w:val="en-US" w:eastAsia="zh-CN" w:bidi="ar"/>
        </w:rPr>
        <w:t xml:space="preserve">上半年付至全年合同价的40%,下半年至全年合同价的80%,全年合同款的15%作为全年度每月点评会奖惩金发放。全年合同款的5%作为年度考核费用，待确保乙方结清给工人的全部工资、奖金、福利及其他应付的经费后，结合全年度的考核情况，在协议期满后次月一次性结清（无息）。</w:t>
      </w:r>
      <w:r>
        <w:rPr>
          <w:rFonts w:hint="eastAsia" w:ascii="宋体" w:hAnsi="宋体" w:eastAsia="宋体" w:cs="宋体"/>
          <w:b/>
          <w:bCs/>
          <w:color w:val="000000"/>
          <w:sz w:val="24"/>
          <w:szCs w:val="24"/>
          <w:highlight w:val="none"/>
          <w:u w:val="none"/>
          <w:lang w:val="en-US" w:eastAsia="zh-CN" w:bidi="ar"/>
        </w:rPr>
      </w:r>
      <w:r/>
    </w:p>
    <w:p>
      <w:pPr>
        <w:pStyle w:val="1068"/>
        <w:ind w:firstLine="482"/>
        <w:spacing w:line="360" w:lineRule="auto"/>
        <w:rPr>
          <w:rFonts w:ascii="宋体" w:hAnsi="宋体" w:eastAsia="宋体" w:cs="宋体"/>
          <w:b/>
          <w:bCs w:val="0"/>
          <w:color w:val="000000"/>
          <w:sz w:val="24"/>
          <w:szCs w:val="24"/>
          <w:highlight w:val="none"/>
          <w:lang w:val="en-US"/>
        </w:rPr>
      </w:pPr>
      <w:r>
        <w:rPr>
          <w:rFonts w:hint="eastAsia" w:ascii="宋体" w:hAnsi="宋体" w:eastAsia="宋体" w:cs="宋体"/>
          <w:b/>
          <w:bCs w:val="0"/>
          <w:color w:val="000000"/>
          <w:sz w:val="24"/>
          <w:szCs w:val="24"/>
          <w:highlight w:val="none"/>
        </w:rPr>
        <w:t xml:space="preserve">第六条</w:t>
      </w:r>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双方权利义务</w:t>
      </w:r>
      <w:r>
        <w:rPr>
          <w:rFonts w:ascii="宋体" w:hAnsi="宋体" w:eastAsia="宋体" w:cs="宋体"/>
          <w:b/>
          <w:bCs w:val="0"/>
          <w:color w:val="000000"/>
          <w:sz w:val="24"/>
          <w:szCs w:val="24"/>
          <w:highlight w:val="none"/>
          <w:lang w:val="en-US"/>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1.甲方权利义务</w:t>
      </w:r>
      <w:r>
        <w:rPr>
          <w:rFonts w:hint="eastAsia" w:ascii="宋体" w:hAnsi="宋体" w:eastAsia="宋体" w:cs="宋体"/>
          <w:b/>
          <w:bCs/>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(1)负责施工现场的协调，在乙方进场施工前确保具备施工条件。</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(2)向乙方提供施工过程中所需的技术资料、参数及图纸类信息。</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(3)根据甲方绿化养护、环卫保洁作业工作要求以及乙方响应文件中的承诺，对乙方提供的服务及履行本合同情况实行验收考核，甲方有义务在适当范围内公开考核结果。</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(4)因突发事件及重大活动，甲方有权调动乙方人员、设备，乙方应服从安排予以配合。</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按《市政府关于进一步完善常州市城市长效综合管理考核工作的实施意见》、《常州市城市环卫作业质量考核办法》和《常州市新北区环境卫生作业考评细则》,甲方对乙方养护管理工作、环卫保洁作业工作进行检查考核，并打分，根据考核结果支付养护及保洁服务费用。</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(6)按照合同约定付款方式及时支付项目款。</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(7)向乙方明确环卫保洁作业范围、保洁标准、作业频次及管控要求，提供保洁作业必要的管理规范，对乙方保洁质量进行日常巡查、监督、整改督办。</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(8)重大活动、专项整治期间，甲方有权要求乙方加派保洁人员、增加清扫频次，乙方须无条件配合。</w:t>
      </w:r>
      <w:r>
        <w:rPr>
          <w:rFonts w:hint="eastAsia" w:ascii="宋体" w:hAnsi="宋体" w:eastAsia="宋体" w:cs="宋体"/>
          <w:color w:val="000000"/>
          <w:sz w:val="24"/>
          <w:szCs w:val="24"/>
          <w:highlight w:val="none"/>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2.乙方权利义务</w:t>
      </w:r>
      <w:r>
        <w:rPr>
          <w:rFonts w:hint="eastAsia" w:ascii="宋体" w:hAnsi="宋体" w:eastAsia="宋体" w:cs="宋体"/>
          <w:b/>
          <w:bCs/>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(1)乙方根据绿地养护作业技术规范、绿化养护作业质量标准和有关要求，积极主动保质保量地完成绿化养护作业工作。</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(2)乙方在施工过程中应采取施工安全措施，确保项目及其人员、材料、设备和设施的安全，防止因项目施工造成的人身伤害和财产损失。</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(3)乙方应对其履行合同所雇佣的全部人员工伤事故承担责任。</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(4)由于乙方原因在施工场地内及其毗邻地带造成的第三者人员伤亡和财产损失，由乙方负责赔偿。</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(5)乙方需配备专职巡查人员，就下列项目展开巡查工作，专职巡视资料员日常巡查内容：</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①作业区域有无私开、私挖现象；</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②作业区域内各类绿化植物有无私自修剪现象；</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③作业区域内有无苗木偷盗、绿化带毁绿种菜现象；</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④作业区域内有无苗木死亡、空秃及病虫害现象；</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⑤作业区域内环卫保洁情况，排查白色垃圾、堆积杂物、卫生死角、垃圾留存等问题；</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⑥其他各类甲方另行规定的巡查内容。</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(6)接受并主动配合甲方及行业管理部门的检查、考核、整改要求。</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(7)养护、保洁范围之外的突击性、突发性工作，乙方必须服从甲方的安排，不得无故拖延。</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(9)绿化带绿化缺失、苗木偷盗、未经行政许可开挖的绿化恢复等应由乙方负责及时补植和修复。</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(10)负责作业范围内绿化带、绿地周边、作业配套区域内的环卫保洁工作，常态化清理白色垃圾、枯枝落叶、杂草、碎石、建筑垃圾、生活垃圾及各类漂浮杂物；</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(11)及时清理雨水篦、绿化沟、绿化带边角、树穴内积存垃圾、淤泥杂物，保持区域内环境卫生干净整洁，无卫生死角；</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(12)合理配置保洁人员、保洁工具及清运设备，做到垃圾日产日清，严禁就地焚烧、随意填埋垃圾；</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(13)养护作业产生的修剪枝条、枯木、渣土、废弃物料等，由乙方统一收集、清运处置，不得滞留作业现场；</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(14)严格遵照常州市及薛家镇城市长效综合管理保洁标准开展作业，做好扬尘管控、污渍清理，遇雨雪、大风等恶劣天气，及时开展雨后清淤、落叶清扫、断枝清理工作；</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(15)做好保洁物资、垃圾分类管理，规范作业流程，接受甲方卫生考核，对甲方提出的保洁问题限期整改。</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 违约责任</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2.甲方未按合同规定的期限向乙方支付的，每逾期1天甲方向乙方偿付欠款总额的5‰滞纳金，但累计滞纳金总额不超过欠款总额的5% 。</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3.乙方未按本合同的规定和“服务承诺”提供伴随服务的，甲方有权提前解除本合同，同时乙方应按合同总价款的5%向甲方承担违约责任。</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6.其他未尽事宜，以《民法典》等有关法律法规规定为准，无相关规定的，双方协商解决。</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合同的变更和终止</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合同的转让</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 争议的解决</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条 诚实信用 </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 合同生效及其他</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2.本合同一式伍份，甲乙双方各执贰份，代理机构执壹份存档。</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113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单位名称（章）：               </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委托代理人：</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传真：                         </w:t>
            </w:r>
            <w:r>
              <w:rPr>
                <w:rFonts w:hint="eastAsia" w:ascii="宋体" w:hAnsi="宋体" w:eastAsia="宋体" w:cs="宋体"/>
                <w:b/>
                <w:bCs/>
                <w:color w:val="000000"/>
                <w:sz w:val="24"/>
                <w:szCs w:val="24"/>
                <w:highlight w:val="none"/>
              </w:rPr>
            </w:r>
            <w:r/>
          </w:p>
        </w:tc>
        <w:tc>
          <w:tcPr>
            <w:tcW w:w="4332" w:type="dxa"/>
            <w:vAlign w:val="top"/>
            <w:textDirection w:val="lrTb"/>
            <w:noWrap w:val="false"/>
          </w:tcPr>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    方：</w:t>
            </w:r>
            <w:r>
              <w:rPr>
                <w:rFonts w:hint="eastAsia" w:ascii="宋体" w:hAnsi="宋体" w:eastAsia="宋体" w:cs="宋体"/>
                <w:b/>
                <w:bCs/>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委托代理人： </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开户银行：        账号：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r>
    </w:tbl>
    <w:p>
      <w:pPr>
        <w:pStyle w:val="1068"/>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1068"/>
        <w:spacing w:line="40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1068"/>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06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6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68"/>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6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6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68"/>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68"/>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68"/>
        <w:jc w:val="left"/>
        <w:widowControl/>
        <w:rPr>
          <w:rFonts w:ascii="宋体" w:hAnsi="宋体"/>
          <w:b/>
          <w:color w:val="000000"/>
          <w:sz w:val="30"/>
          <w:szCs w:val="20"/>
          <w:highlight w:val="none"/>
        </w:rPr>
      </w:pPr>
      <w:r>
        <w:rPr>
          <w:rFonts w:ascii="宋体" w:hAnsi="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68"/>
        <w:rPr>
          <w:rFonts w:ascii="宋体" w:hAnsi="宋体"/>
          <w:b/>
          <w:color w:val="000000"/>
          <w:spacing w:val="20"/>
          <w:szCs w:val="21"/>
          <w:highlight w:val="none"/>
        </w:rPr>
      </w:pPr>
      <w:r>
        <w:rPr>
          <w:rFonts w:ascii="宋体" w:hAnsi="宋体"/>
          <w:b/>
          <w:color w:val="000000"/>
          <w:spacing w:val="20"/>
          <w:szCs w:val="21"/>
          <w:highlight w:val="none"/>
        </w:rPr>
      </w:r>
      <w:r/>
    </w:p>
    <w:p>
      <w:pPr>
        <w:pStyle w:val="1068"/>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68"/>
        <w:jc w:val="center"/>
        <w:rPr>
          <w:rFonts w:ascii="宋体" w:hAnsi="宋体"/>
          <w:color w:val="000000"/>
          <w:szCs w:val="21"/>
          <w:highlight w:val="none"/>
        </w:rPr>
      </w:pPr>
      <w:r>
        <w:rPr>
          <w:rFonts w:ascii="宋体" w:hAnsi="宋体"/>
          <w:color w:val="000000"/>
          <w:szCs w:val="21"/>
          <w:highlight w:val="none"/>
        </w:rPr>
      </w:r>
      <w:r/>
    </w:p>
    <w:p>
      <w:pPr>
        <w:pStyle w:val="1068"/>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6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6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6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6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6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6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6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8"/>
        <w:jc w:val="center"/>
        <w:rPr>
          <w:rFonts w:ascii="宋体" w:hAnsi="宋体"/>
          <w:b/>
          <w:color w:val="000000"/>
          <w:sz w:val="32"/>
          <w:szCs w:val="32"/>
          <w:highlight w:val="none"/>
        </w:rPr>
      </w:pPr>
      <w:r>
        <w:rPr>
          <w:rFonts w:ascii="宋体" w:hAnsi="宋体"/>
          <w:b/>
          <w:color w:val="000000"/>
          <w:sz w:val="32"/>
          <w:szCs w:val="32"/>
          <w:highlight w:val="none"/>
        </w:rPr>
      </w:r>
      <w:r/>
    </w:p>
    <w:p>
      <w:pPr>
        <w:pStyle w:val="1068"/>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68"/>
        <w:rPr>
          <w:rFonts w:ascii="宋体" w:hAnsi="宋体"/>
          <w:b/>
          <w:color w:val="000000"/>
          <w:highlight w:val="none"/>
        </w:rPr>
      </w:pPr>
      <w:r>
        <w:rPr>
          <w:rFonts w:ascii="宋体" w:hAnsi="宋体"/>
          <w:b/>
          <w:color w:val="000000"/>
          <w:highlight w:val="none"/>
        </w:rPr>
      </w:r>
      <w:r/>
    </w:p>
    <w:p>
      <w:pPr>
        <w:pStyle w:val="1068"/>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1"/>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6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6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4"/>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4"/>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6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6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68"/>
        <w:spacing w:line="360" w:lineRule="auto"/>
        <w:rPr>
          <w:rFonts w:ascii="宋体" w:hAnsi="宋体"/>
          <w:color w:val="000000"/>
          <w:sz w:val="24"/>
          <w:szCs w:val="20"/>
          <w:highlight w:val="none"/>
        </w:rPr>
        <w:outlineLvl w:val="2"/>
      </w:pPr>
      <w:r>
        <w:rPr>
          <w:rFonts w:ascii="宋体" w:hAnsi="宋体"/>
          <w:b/>
          <w:color w:val="000000"/>
          <w:sz w:val="24"/>
          <w:szCs w:val="20"/>
          <w:highlight w:val="none"/>
        </w:rPr>
        <w:t xml:space="preserve">2-1中小企业声明函</w:t>
      </w:r>
      <w:r>
        <w:rPr>
          <w:rFonts w:ascii="宋体" w:hAnsi="宋体"/>
          <w:color w:val="000000"/>
          <w:sz w:val="24"/>
          <w:szCs w:val="20"/>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（1）如本项目（包）不专门面向中小企业预留采购份额，</w:t>
      </w:r>
      <w:r>
        <w:rPr>
          <w:rFonts w:hint="eastAsia" w:ascii="宋体" w:hAnsi="宋体"/>
          <w:color w:val="000000"/>
          <w:sz w:val="24"/>
          <w:highlight w:val="none"/>
        </w:rPr>
        <w:t xml:space="preserve">资格证明文件部分</w:t>
      </w:r>
      <w:r>
        <w:rPr>
          <w:rFonts w:ascii="宋体" w:hAnsi="宋体"/>
          <w:color w:val="000000"/>
          <w:sz w:val="24"/>
          <w:highlight w:val="none"/>
        </w:rPr>
        <w:t xml:space="preserve">无需提供《中小企业声明函》。</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（2）如本项目（包）专门面向中小/小微企业采购，须提供《中小企业声明函》</w:t>
      </w:r>
      <w:r>
        <w:rPr>
          <w:rFonts w:ascii="宋体" w:hAnsi="宋体"/>
          <w:color w:val="000000"/>
          <w:sz w:val="24"/>
          <w:szCs w:val="20"/>
          <w:highlight w:val="none"/>
        </w:rPr>
        <w:t xml:space="preserve">（实质性格式）</w:t>
      </w:r>
      <w:r>
        <w:rPr>
          <w:rFonts w:ascii="宋体" w:hAnsi="宋体"/>
          <w:color w:val="000000"/>
          <w:sz w:val="24"/>
          <w:highlight w:val="none"/>
        </w:rPr>
        <w:t xml:space="preserve">。</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（4）其他</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ascii="宋体" w:hAnsi="宋体"/>
          <w:color w:val="000000"/>
          <w:sz w:val="24"/>
          <w:highlight w:val="none"/>
        </w:rPr>
      </w:r>
      <w:r/>
    </w:p>
    <w:p>
      <w:pPr>
        <w:pStyle w:val="106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8"/>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68"/>
        <w:jc w:val="center"/>
        <w:spacing w:before="240" w:after="240"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68"/>
        <w:jc w:val="left"/>
        <w:rPr>
          <w:rFonts w:ascii="宋体" w:hAnsi="宋体"/>
          <w:color w:val="000000"/>
          <w:sz w:val="24"/>
          <w:szCs w:val="21"/>
          <w:highlight w:val="none"/>
        </w:rPr>
      </w:pPr>
      <w:r>
        <w:rPr>
          <w:rFonts w:ascii="宋体" w:hAnsi="宋体"/>
          <w:color w:val="000000"/>
          <w:sz w:val="24"/>
          <w:szCs w:val="21"/>
          <w:highlight w:val="none"/>
        </w:rPr>
      </w:r>
      <w:r/>
    </w:p>
    <w:p>
      <w:pPr>
        <w:pStyle w:val="1068"/>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8"/>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68"/>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8"/>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68"/>
        <w:jc w:val="center"/>
        <w:spacing w:before="240" w:after="240" w:line="360" w:lineRule="auto"/>
        <w:rPr>
          <w:rFonts w:ascii="宋体" w:hAnsi="宋体"/>
          <w:b/>
          <w:color w:val="000000"/>
          <w:sz w:val="36"/>
          <w:szCs w:val="36"/>
          <w:highlight w:val="none"/>
        </w:rPr>
      </w:pPr>
      <w:r>
        <w:rPr>
          <w:rFonts w:hint="eastAsia" w:ascii="宋体" w:hAnsi="宋体"/>
          <w:b/>
          <w:bCs/>
          <w:color w:val="000000"/>
          <w:sz w:val="36"/>
          <w:szCs w:val="36"/>
          <w:highlight w:val="none"/>
        </w:rPr>
        <w:t xml:space="preserve">残疾人福利性单位声明函格式</w:t>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68"/>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8"/>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68"/>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68"/>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6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6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6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日  期：</w:t>
      </w: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r>
      <w:r/>
    </w:p>
    <w:p>
      <w:pPr>
        <w:pStyle w:val="1068"/>
        <w:spacing w:line="360" w:lineRule="auto"/>
        <w:tabs>
          <w:tab w:val="left" w:pos="8280" w:leader="none"/>
        </w:tabs>
        <w:rPr>
          <w:rFonts w:ascii="宋体" w:hAnsi="宋体"/>
          <w:b/>
          <w:color w:val="000000"/>
          <w:sz w:val="24"/>
          <w:szCs w:val="20"/>
          <w:highlight w:val="none"/>
        </w:rPr>
      </w:pPr>
      <w:r>
        <w:rPr>
          <w:rFonts w:ascii="宋体" w:hAnsi="宋体"/>
          <w:color w:val="000000"/>
          <w:sz w:val="24"/>
          <w:szCs w:val="20"/>
          <w:highlight w:val="none"/>
        </w:rPr>
        <w:br w:type="page" w:clear="all"/>
      </w: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68"/>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68"/>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7" w:name="_Ref467988698"/>
      <w:r/>
      <w:bookmarkStart w:id="818" w:name="_Toc150774761"/>
      <w:r/>
      <w:bookmarkStart w:id="819" w:name="_Toc480942349"/>
      <w:r/>
      <w:bookmarkStart w:id="820" w:name="_Toc127151556"/>
      <w:r/>
      <w:bookmarkStart w:id="821" w:name="_Toc226309800"/>
      <w:r/>
      <w:bookmarkStart w:id="822" w:name="_Toc520356217"/>
      <w:r/>
      <w:bookmarkStart w:id="823" w:name="_Toc195842921"/>
      <w:r/>
      <w:bookmarkStart w:id="824" w:name="_Toc226965746"/>
      <w:r/>
      <w:bookmarkStart w:id="825" w:name="_Toc150480794"/>
      <w:r/>
      <w:bookmarkStart w:id="826" w:name="_Toc226337252"/>
      <w:r/>
      <w:bookmarkStart w:id="827" w:name="_Toc226965829"/>
      <w:r/>
      <w:bookmarkStart w:id="828" w:name="_Toc142311058"/>
      <w:r>
        <w:rPr>
          <w:rFonts w:hint="eastAsia" w:ascii="宋体" w:hAnsi="宋体"/>
          <w:b/>
          <w:color w:val="000000"/>
          <w:sz w:val="32"/>
          <w:szCs w:val="32"/>
          <w:highlight w:val="none"/>
        </w:rPr>
      </w:r>
      <w:r/>
    </w:p>
    <w:p>
      <w:pPr>
        <w:pStyle w:val="106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6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6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6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68"/>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68"/>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68"/>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68"/>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68"/>
        <w:jc w:val="left"/>
        <w:widowControl/>
        <w:rPr>
          <w:rFonts w:hint="eastAsia" w:ascii="宋体" w:hAnsi="宋体"/>
          <w:b/>
          <w:color w:val="000000"/>
          <w:sz w:val="24"/>
          <w:highlight w:val="none"/>
        </w:rPr>
      </w:pPr>
      <w:r/>
      <w:bookmarkStart w:id="829" w:name="_Hlt520355938"/>
      <w:r/>
      <w:bookmarkEnd w:id="829"/>
      <w:r/>
      <w:bookmarkStart w:id="830" w:name="_Hlt520356243"/>
      <w:r/>
      <w:bookmarkEnd w:id="830"/>
      <w:r>
        <w:rPr>
          <w:rFonts w:ascii="宋体" w:hAnsi="宋体"/>
          <w:color w:val="000000"/>
          <w:sz w:val="24"/>
          <w:highlight w:val="none"/>
        </w:rPr>
        <w:br w:type="page" w:clear="all"/>
      </w: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6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ascii="宋体" w:hAnsi="宋体"/>
          <w:color w:val="000000"/>
          <w:sz w:val="24"/>
          <w:highlight w:val="none"/>
        </w:rPr>
      </w:r>
      <w:r/>
    </w:p>
    <w:p>
      <w:pPr>
        <w:pStyle w:val="108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6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68"/>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6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6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0"/>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6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6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6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6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6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6"/>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68"/>
        <w:spacing w:line="400" w:lineRule="exact"/>
        <w:rPr>
          <w:rFonts w:ascii="宋体" w:hAnsi="宋体" w:cs="宋体"/>
          <w:color w:val="000000"/>
          <w:sz w:val="24"/>
          <w:highlight w:val="none"/>
        </w:rPr>
      </w:pPr>
      <w:r>
        <w:rPr>
          <w:rFonts w:ascii="宋体" w:hAnsi="宋体" w:cs="宋体"/>
          <w:color w:val="000000"/>
          <w:sz w:val="24"/>
          <w:highlight w:val="none"/>
        </w:rPr>
      </w:r>
      <w:r/>
    </w:p>
    <w:p>
      <w:pPr>
        <w:pStyle w:val="1080"/>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80"/>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6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6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6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0"/>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68"/>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68"/>
        <w:ind w:firstLine="640"/>
        <w:rPr>
          <w:rFonts w:ascii="宋体" w:hAnsi="宋体"/>
          <w:color w:val="000000"/>
          <w:highlight w:val="none"/>
        </w:rPr>
      </w:pPr>
      <w:r>
        <w:rPr>
          <w:rFonts w:ascii="宋体" w:hAnsi="宋体"/>
          <w:color w:val="000000"/>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bookmarkStart w:id="831" w:name="_Hlt520343000"/>
      <w:r/>
      <w:bookmarkEnd w:id="831"/>
      <w:r/>
      <w:bookmarkStart w:id="832" w:name="_Hlt520274407"/>
      <w:r/>
      <w:bookmarkEnd w:id="832"/>
      <w:r/>
      <w:bookmarkStart w:id="833" w:name="_Hlt520274065"/>
      <w:r/>
      <w:bookmarkEnd w:id="833"/>
      <w:r/>
      <w:bookmarkStart w:id="834" w:name="_Hlt520274393"/>
      <w:r/>
      <w:bookmarkEnd w:id="834"/>
      <w:r/>
      <w:bookmarkStart w:id="835" w:name="_Hlt520273711"/>
      <w:r/>
      <w:bookmarkEnd w:id="835"/>
      <w:r/>
      <w:bookmarkStart w:id="836" w:name="_Hlt520271212"/>
      <w:r/>
      <w:bookmarkEnd w:id="836"/>
      <w:r/>
      <w:bookmarkStart w:id="837" w:name="_Hlt520274121"/>
      <w:r/>
      <w:bookmarkEnd w:id="837"/>
      <w:r/>
      <w:bookmarkStart w:id="838" w:name="_Hlt520355504"/>
      <w:r/>
      <w:bookmarkEnd w:id="838"/>
      <w:r/>
      <w:bookmarkStart w:id="839" w:name="_Hlt520350918"/>
      <w:r/>
      <w:bookmarkEnd w:id="839"/>
      <w:r/>
      <w:bookmarkStart w:id="840" w:name="_Hlt520343392"/>
      <w:r/>
      <w:bookmarkEnd w:id="840"/>
      <w:r/>
      <w:bookmarkStart w:id="841" w:name="_Toc226309801"/>
      <w:r/>
      <w:bookmarkStart w:id="842" w:name="_Toc305158899"/>
      <w:r/>
      <w:bookmarkStart w:id="843" w:name="_Toc264969247"/>
      <w:r/>
      <w:bookmarkStart w:id="844" w:name="_Ref467988705"/>
      <w:r/>
      <w:bookmarkStart w:id="845" w:name="_Toc265228395"/>
      <w:r/>
      <w:bookmarkStart w:id="846" w:name="_Toc520356218"/>
      <w:r/>
      <w:bookmarkStart w:id="847" w:name="_Toc480942350"/>
      <w:r/>
      <w:bookmarkStart w:id="848" w:name="_Toc226965747"/>
      <w:r/>
      <w:bookmarkStart w:id="849" w:name="_Toc150774762"/>
      <w:r/>
      <w:bookmarkStart w:id="850" w:name="_Toc150480795"/>
      <w:r/>
      <w:bookmarkStart w:id="851" w:name="_Toc226965830"/>
      <w:r/>
      <w:bookmarkStart w:id="852" w:name="_Toc226337253"/>
      <w:r/>
      <w:bookmarkStart w:id="853" w:name="_Toc195842922"/>
      <w:r/>
      <w:bookmarkStart w:id="854" w:name="_Toc142311059"/>
      <w:r/>
      <w:bookmarkStart w:id="855" w:name="_Toc305158825"/>
      <w:r/>
      <w:bookmarkStart w:id="856" w:name="_Toc127151557"/>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8"/>
        <w:jc w:val="center"/>
        <w:spacing w:line="360" w:lineRule="exact"/>
        <w:rPr>
          <w:rFonts w:hint="eastAsia" w:ascii="宋体" w:hAnsi="宋体"/>
          <w:b/>
          <w:color w:val="000000"/>
          <w:sz w:val="36"/>
          <w:szCs w:val="36"/>
          <w:highlight w:val="none"/>
        </w:rPr>
      </w:pPr>
      <w:r/>
      <w:bookmarkStart w:id="857" w:name="_Toc264969248"/>
      <w:r/>
      <w:bookmarkStart w:id="858" w:name="_Toc305158826"/>
      <w:r/>
      <w:bookmarkStart w:id="859" w:name="_Toc226309802"/>
      <w:r/>
      <w:bookmarkStart w:id="860" w:name="_Toc226965748"/>
      <w:r/>
      <w:bookmarkStart w:id="861" w:name="_Toc164608827"/>
      <w:r/>
      <w:bookmarkStart w:id="862" w:name="_Toc226965831"/>
      <w:r/>
      <w:bookmarkStart w:id="863" w:name="_Toc164608672"/>
      <w:r/>
      <w:bookmarkStart w:id="864" w:name="_Toc195842923"/>
      <w:r/>
      <w:bookmarkStart w:id="865" w:name="_Toc305158900"/>
      <w:r/>
      <w:bookmarkStart w:id="866" w:name="_Toc265228396"/>
      <w:r/>
      <w:bookmarkStart w:id="867" w:name="_Toc226337254"/>
      <w:r>
        <w:rPr>
          <w:rFonts w:hint="eastAsia" w:ascii="宋体" w:hAnsi="宋体"/>
          <w:b/>
          <w:color w:val="000000"/>
          <w:sz w:val="36"/>
          <w:szCs w:val="36"/>
          <w:highlight w:val="none"/>
        </w:rPr>
      </w:r>
      <w:r/>
    </w:p>
    <w:p>
      <w:pPr>
        <w:pStyle w:val="1068"/>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068"/>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68"/>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68"/>
              <w:jc w:val="center"/>
              <w:tabs>
                <w:tab w:val="left" w:pos="5580" w:leader="none"/>
              </w:tabs>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元/三年</w:t>
            </w:r>
            <w:r>
              <w:rPr>
                <w:rFonts w:ascii="宋体" w:hAnsi="宋体" w:eastAsia="宋体"/>
                <w:color w:val="000000"/>
                <w:sz w:val="24"/>
                <w:highlight w:val="none"/>
                <w:lang w:val="en-US" w:eastAsia="zh-CN"/>
              </w:rPr>
            </w:r>
            <w:r/>
          </w:p>
        </w:tc>
        <w:tc>
          <w:tcPr>
            <w:tcW w:w="1182" w:type="dxa"/>
            <w:vAlign w:val="center"/>
            <w:textDirection w:val="lrTb"/>
            <w:noWrap w:val="false"/>
          </w:tcPr>
          <w:p>
            <w:pPr>
              <w:pStyle w:val="1068"/>
              <w:jc w:val="center"/>
              <w:tabs>
                <w:tab w:val="left" w:pos="5580" w:leader="none"/>
              </w:tabs>
              <w:rPr>
                <w:rFonts w:ascii="宋体" w:hAnsi="宋体"/>
                <w:color w:val="000000"/>
                <w:sz w:val="24"/>
                <w:highlight w:val="none"/>
              </w:rPr>
            </w:pPr>
            <w:r>
              <w:rPr>
                <w:rFonts w:hint="eastAsia" w:ascii="宋体" w:hAnsi="宋体"/>
                <w:color w:val="000000"/>
                <w:sz w:val="24"/>
                <w:highlight w:val="none"/>
                <w:lang w:val="en-US" w:eastAsia="zh-CN"/>
              </w:rPr>
              <w:t xml:space="preserve">元/三年</w:t>
            </w:r>
            <w:r>
              <w:rPr>
                <w:rFonts w:ascii="宋体" w:hAnsi="宋体"/>
                <w:color w:val="000000"/>
                <w:sz w:val="24"/>
                <w:highlight w:val="none"/>
              </w:rPr>
            </w:r>
            <w:r/>
          </w:p>
        </w:tc>
      </w:tr>
    </w:tbl>
    <w:p>
      <w:pPr>
        <w:pStyle w:val="1068"/>
        <w:jc w:val="left"/>
        <w:rPr>
          <w:rFonts w:ascii="宋体" w:hAnsi="宋体"/>
          <w:color w:val="000000"/>
          <w:sz w:val="24"/>
          <w:highlight w:val="none"/>
        </w:rPr>
      </w:pPr>
      <w:r>
        <w:rPr>
          <w:rFonts w:ascii="宋体" w:hAnsi="宋体"/>
          <w:color w:val="000000"/>
          <w:sz w:val="24"/>
          <w:highlight w:val="none"/>
        </w:rPr>
      </w:r>
      <w:r/>
    </w:p>
    <w:p>
      <w:pPr>
        <w:pStyle w:val="1068"/>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68"/>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bookmarkStart w:id="868" w:name="_Toc226965749"/>
      <w:r/>
      <w:bookmarkStart w:id="869" w:name="_Toc226965832"/>
      <w:r/>
      <w:bookmarkStart w:id="870" w:name="_Toc195842924"/>
      <w:r/>
      <w:bookmarkStart w:id="871" w:name="_Toc150480796"/>
      <w:r/>
      <w:bookmarkStart w:id="872" w:name="_Toc142311060"/>
      <w:r/>
      <w:bookmarkStart w:id="873" w:name="_Toc226309803"/>
      <w:r/>
      <w:bookmarkStart w:id="874" w:name="_Toc226337255"/>
      <w:r/>
      <w:bookmarkStart w:id="875" w:name="_Toc264969249"/>
      <w:r/>
      <w:bookmarkStart w:id="876" w:name="_Toc150774763"/>
      <w:r/>
      <w:bookmarkStart w:id="877" w:name="_Toc265228397"/>
      <w:r/>
      <w:bookmarkStart w:id="878" w:name="_Toc305158827"/>
      <w:r/>
      <w:bookmarkStart w:id="879" w:name="_Toc305158901"/>
      <w:r/>
      <w:bookmarkStart w:id="880" w:name="_Toc127151558"/>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8"/>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6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68"/>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68"/>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lang w:val="en-US" w:eastAsia="zh-CN"/>
        </w:rPr>
      </w:pPr>
      <w:r/>
      <w:bookmarkStart w:id="881" w:name="_Toc195842927"/>
      <w:r/>
      <w:bookmarkStart w:id="882" w:name="_Toc226337258"/>
      <w:r/>
      <w:bookmarkStart w:id="883" w:name="_Toc150774765"/>
      <w:r/>
      <w:bookmarkStart w:id="884" w:name="_Toc305158830"/>
      <w:r/>
      <w:bookmarkStart w:id="885" w:name="_Toc265228400"/>
      <w:r/>
      <w:bookmarkStart w:id="886" w:name="_Toc150480798"/>
      <w:r/>
      <w:bookmarkStart w:id="887" w:name="_Toc226965752"/>
      <w:r/>
      <w:bookmarkStart w:id="888" w:name="_Toc226965835"/>
      <w:r/>
      <w:bookmarkStart w:id="889" w:name="_Toc142311062"/>
      <w:r/>
      <w:bookmarkStart w:id="890" w:name="_Toc127151562"/>
      <w:r/>
      <w:bookmarkStart w:id="891" w:name="_Toc226309806"/>
      <w:r/>
      <w:bookmarkStart w:id="892" w:name="_Toc305158904"/>
      <w:r/>
      <w:bookmarkStart w:id="893" w:name="_Toc264969252"/>
      <w:r/>
      <w:bookmarkStart w:id="894" w:name="_Toc142311061"/>
      <w:r/>
      <w:bookmarkStart w:id="895" w:name="_Toc195842926"/>
      <w:r/>
      <w:bookmarkStart w:id="896" w:name="_Toc226337257"/>
      <w:r/>
      <w:bookmarkStart w:id="897" w:name="_Toc305158903"/>
      <w:r/>
      <w:bookmarkStart w:id="898" w:name="_Toc226965834"/>
      <w:r/>
      <w:bookmarkStart w:id="899" w:name="_Toc226965751"/>
      <w:r/>
      <w:bookmarkStart w:id="900" w:name="_Toc265228399"/>
      <w:r/>
      <w:bookmarkStart w:id="901" w:name="_Toc127151561"/>
      <w:r/>
      <w:bookmarkStart w:id="902" w:name="_Toc305158829"/>
      <w:r/>
      <w:bookmarkStart w:id="903" w:name="_Toc150774764"/>
      <w:r/>
      <w:bookmarkStart w:id="904" w:name="_Toc226309805"/>
      <w:r/>
      <w:bookmarkStart w:id="905" w:name="_Toc150480797"/>
      <w:r/>
      <w:bookmarkStart w:id="906" w:name="_Toc264969251"/>
      <w:r>
        <w:rPr>
          <w:rFonts w:hint="eastAsia" w:ascii="宋体" w:hAnsi="宋体" w:eastAsia="宋体" w:cs="宋体"/>
          <w:b/>
          <w:bCs/>
          <w:color w:val="000000"/>
          <w:sz w:val="24"/>
          <w:szCs w:val="24"/>
          <w:highlight w:val="none"/>
          <w:lang w:val="en-US" w:eastAsia="zh-CN"/>
        </w:rPr>
      </w:r>
      <w:r/>
    </w:p>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2026-2028年薛家道路保洁、绿化养护项目报价表</w:t>
      </w:r>
      <w:r>
        <w:rPr>
          <w:rFonts w:hint="eastAsia" w:ascii="宋体" w:hAnsi="宋体" w:eastAsia="宋体" w:cs="宋体"/>
          <w:b/>
          <w:bCs/>
          <w:color w:val="000000"/>
          <w:sz w:val="24"/>
          <w:szCs w:val="24"/>
          <w:highlight w:val="none"/>
          <w:lang w:val="en-US" w:eastAsia="zh-CN"/>
        </w:rPr>
      </w:r>
      <w:r/>
    </w:p>
    <w:tbl>
      <w:tblPr>
        <w:tblStyle w:val="11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889"/>
        <w:gridCol w:w="2295"/>
        <w:gridCol w:w="616"/>
        <w:gridCol w:w="475"/>
        <w:gridCol w:w="1485"/>
        <w:gridCol w:w="1485"/>
        <w:gridCol w:w="1485"/>
      </w:tblGrid>
      <w:tr>
        <w:trPr/>
        <w:tc>
          <w:tcPr>
            <w:tcW w:w="553"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gridSpan w:val="2"/>
            <w:tcW w:w="3184"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项目名称</w:t>
            </w:r>
            <w:r>
              <w:rPr>
                <w:rFonts w:hint="eastAsia" w:ascii="宋体" w:hAnsi="宋体" w:eastAsia="宋体" w:cs="宋体"/>
                <w:b/>
                <w:bCs/>
                <w:color w:val="000000"/>
                <w:sz w:val="24"/>
                <w:szCs w:val="24"/>
                <w:highlight w:val="none"/>
                <w:vertAlign w:val="baseline"/>
                <w:lang w:val="en-US" w:eastAsia="zh-CN"/>
              </w:rPr>
            </w:r>
            <w:r/>
          </w:p>
        </w:tc>
        <w:tc>
          <w:tcPr>
            <w:tcW w:w="616"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rPr>
              <w:t xml:space="preserve">单位</w:t>
            </w:r>
            <w:r>
              <w:rPr>
                <w:rFonts w:hint="eastAsia" w:ascii="宋体" w:hAnsi="宋体" w:eastAsia="宋体" w:cs="宋体"/>
                <w:b/>
                <w:bCs/>
                <w:color w:val="000000"/>
                <w:sz w:val="24"/>
                <w:szCs w:val="24"/>
                <w:highlight w:val="none"/>
                <w:vertAlign w:val="baseline"/>
                <w:lang w:val="en-US" w:eastAsia="zh-CN" w:bidi="ar-SA"/>
              </w:rPr>
            </w:r>
            <w:r/>
          </w:p>
        </w:tc>
        <w:tc>
          <w:tcPr>
            <w:tcW w:w="47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数量</w:t>
            </w:r>
            <w:r>
              <w:rPr>
                <w:rFonts w:hint="eastAsia" w:ascii="宋体" w:hAnsi="宋体" w:eastAsia="宋体" w:cs="宋体"/>
                <w:b/>
                <w:bCs/>
                <w:color w:val="000000"/>
                <w:sz w:val="24"/>
                <w:szCs w:val="24"/>
                <w:highlight w:val="none"/>
                <w:vertAlign w:val="baseline"/>
                <w:lang w:val="en-US" w:eastAsia="zh-CN"/>
              </w:rPr>
            </w:r>
            <w:r/>
          </w:p>
        </w:tc>
        <w:tc>
          <w:tcPr>
            <w:tcW w:w="148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vertAlign w:val="baseline"/>
                <w:lang w:val="en-US" w:eastAsia="zh-CN"/>
              </w:rPr>
            </w:r>
            <w:r/>
          </w:p>
        </w:tc>
        <w:tc>
          <w:tcPr>
            <w:tcW w:w="148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tc>
        <w:tc>
          <w:tcPr>
            <w:tcW w:w="148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tc>
      </w:tr>
      <w:tr>
        <w:trPr/>
        <w:tc>
          <w:tcPr>
            <w:tcW w:w="553"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gridSpan w:val="2"/>
            <w:tcW w:w="3184"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道路保洁</w:t>
            </w:r>
            <w:r>
              <w:rPr>
                <w:rFonts w:hint="eastAsia" w:ascii="宋体" w:hAnsi="宋体" w:eastAsia="宋体" w:cs="宋体"/>
                <w:color w:val="000000"/>
                <w:sz w:val="24"/>
                <w:szCs w:val="24"/>
                <w:highlight w:val="none"/>
                <w:vertAlign w:val="baseline"/>
                <w:lang w:val="en-US" w:eastAsia="zh-CN"/>
              </w:rPr>
            </w:r>
            <w:r/>
          </w:p>
        </w:tc>
        <w:tc>
          <w:tcPr>
            <w:tcW w:w="61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4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53"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gridSpan w:val="2"/>
            <w:tcW w:w="3184"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公厕、垃圾中转站水电费及维修</w:t>
            </w:r>
            <w:r>
              <w:rPr>
                <w:rFonts w:hint="eastAsia" w:ascii="宋体" w:hAnsi="宋体" w:eastAsia="宋体" w:cs="宋体"/>
                <w:color w:val="000000"/>
                <w:sz w:val="24"/>
                <w:szCs w:val="24"/>
                <w:highlight w:val="none"/>
                <w:vertAlign w:val="baseline"/>
                <w:lang w:val="en-US" w:eastAsia="zh-CN"/>
              </w:rPr>
            </w:r>
            <w:r/>
          </w:p>
        </w:tc>
        <w:tc>
          <w:tcPr>
            <w:tcW w:w="61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4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53"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889" w:type="dxa"/>
            <w:vAlign w:val="center"/>
            <w:vMerge w:val="restart"/>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绿化养护</w:t>
            </w:r>
            <w:r>
              <w:rPr>
                <w:rFonts w:hint="eastAsia" w:ascii="宋体" w:hAnsi="宋体" w:eastAsia="宋体" w:cs="宋体"/>
                <w:color w:val="000000"/>
                <w:sz w:val="24"/>
                <w:szCs w:val="24"/>
                <w:highlight w:val="none"/>
                <w:vertAlign w:val="baseline"/>
                <w:lang w:val="en-US" w:eastAsia="zh-CN"/>
              </w:rPr>
            </w:r>
            <w:r/>
          </w:p>
        </w:tc>
        <w:tc>
          <w:tcPr>
            <w:tcW w:w="229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镇区绿化</w:t>
            </w:r>
            <w:r>
              <w:rPr>
                <w:rFonts w:hint="eastAsia" w:ascii="宋体" w:hAnsi="宋体" w:eastAsia="宋体" w:cs="宋体"/>
                <w:color w:val="000000"/>
                <w:sz w:val="24"/>
                <w:szCs w:val="24"/>
                <w:highlight w:val="none"/>
                <w:vertAlign w:val="baseline"/>
                <w:lang w:val="en-US" w:eastAsia="zh-CN"/>
              </w:rPr>
            </w:r>
            <w:r/>
          </w:p>
        </w:tc>
        <w:tc>
          <w:tcPr>
            <w:tcW w:w="61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4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53"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889" w:type="dxa"/>
            <w:vAlign w:val="center"/>
            <w:vMerge w:val="continue"/>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229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外围绿化</w:t>
            </w:r>
            <w:r>
              <w:rPr>
                <w:rFonts w:hint="eastAsia" w:ascii="宋体" w:hAnsi="宋体" w:eastAsia="宋体" w:cs="宋体"/>
                <w:color w:val="000000"/>
                <w:sz w:val="24"/>
                <w:szCs w:val="24"/>
                <w:highlight w:val="none"/>
                <w:vertAlign w:val="baseline"/>
                <w:lang w:val="en-US" w:eastAsia="zh-CN" w:bidi="ar-SA"/>
              </w:rPr>
            </w:r>
            <w:r/>
          </w:p>
        </w:tc>
        <w:tc>
          <w:tcPr>
            <w:tcW w:w="61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bidi="ar-SA"/>
              </w:rPr>
            </w:r>
            <w:r/>
          </w:p>
        </w:tc>
        <w:tc>
          <w:tcPr>
            <w:tcW w:w="4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tcW w:w="553"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eastAsia" w:ascii="宋体" w:hAnsi="宋体" w:eastAsia="宋体" w:cs="宋体"/>
                <w:color w:val="000000"/>
                <w:sz w:val="24"/>
                <w:szCs w:val="24"/>
                <w:highlight w:val="none"/>
                <w:vertAlign w:val="baseline"/>
                <w:lang w:val="en-US" w:eastAsia="zh-CN"/>
              </w:rPr>
            </w:r>
            <w:r/>
          </w:p>
        </w:tc>
        <w:tc>
          <w:tcPr>
            <w:tcW w:w="889" w:type="dxa"/>
            <w:vAlign w:val="top"/>
            <w:vMerge w:val="continue"/>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229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城际铁路和沪宁高速沿线</w:t>
            </w:r>
            <w:r>
              <w:rPr>
                <w:rFonts w:hint="eastAsia" w:ascii="宋体" w:hAnsi="宋体" w:eastAsia="宋体" w:cs="宋体"/>
                <w:color w:val="000000"/>
                <w:sz w:val="24"/>
                <w:szCs w:val="24"/>
                <w:highlight w:val="none"/>
                <w:vertAlign w:val="baseline"/>
                <w:lang w:val="en-US" w:eastAsia="zh-CN"/>
              </w:rPr>
            </w:r>
            <w:r/>
          </w:p>
        </w:tc>
        <w:tc>
          <w:tcPr>
            <w:tcW w:w="61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bidi="ar-SA"/>
              </w:rPr>
            </w:r>
            <w:r/>
          </w:p>
        </w:tc>
        <w:tc>
          <w:tcPr>
            <w:tcW w:w="4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gridSpan w:val="5"/>
            <w:tcW w:w="4828"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rPr>
              <w:t xml:space="preserve">合计</w:t>
            </w:r>
            <w:r>
              <w:rPr>
                <w:rFonts w:hint="eastAsia" w:ascii="宋体" w:hAnsi="宋体" w:eastAsia="宋体" w:cs="宋体"/>
                <w:b/>
                <w:bCs/>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gridSpan w:val="5"/>
            <w:tcW w:w="4828"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三年合计</w:t>
            </w:r>
            <w:r>
              <w:rPr>
                <w:rFonts w:ascii="宋体" w:hAnsi="宋体" w:eastAsia="宋体" w:cs="宋体"/>
                <w:b/>
                <w:bCs/>
                <w:color w:val="000000"/>
                <w:sz w:val="24"/>
                <w:szCs w:val="24"/>
                <w:highlight w:val="none"/>
                <w:vertAlign w:val="baseline"/>
                <w:lang w:val="en-US" w:eastAsia="zh-CN"/>
              </w:rPr>
            </w:r>
            <w:r/>
          </w:p>
        </w:tc>
        <w:tc>
          <w:tcPr>
            <w:gridSpan w:val="3"/>
            <w:tcW w:w="445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1.薛家道路保洁报价表</w:t>
      </w:r>
      <w:r>
        <w:rPr>
          <w:rFonts w:hint="eastAsia" w:ascii="宋体" w:hAnsi="宋体" w:eastAsia="宋体" w:cs="宋体"/>
          <w:b/>
          <w:bCs/>
          <w:color w:val="000000"/>
          <w:sz w:val="24"/>
          <w:szCs w:val="24"/>
          <w:highlight w:val="none"/>
          <w:lang w:val="en-US" w:eastAsia="zh-CN"/>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811"/>
        <w:gridCol w:w="2662"/>
        <w:gridCol w:w="1977"/>
        <w:gridCol w:w="1214"/>
        <w:gridCol w:w="1199"/>
        <w:gridCol w:w="1418"/>
      </w:tblGrid>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路名</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长宽（</w:t>
            </w:r>
            <w:r>
              <w:rPr>
                <w:rFonts w:hint="eastAsia" w:ascii="宋体" w:hAnsi="宋体" w:eastAsia="宋体" w:cs="宋体"/>
                <w:b/>
                <w:bCs/>
                <w:color w:val="000000"/>
                <w:sz w:val="24"/>
                <w:szCs w:val="24"/>
                <w:highlight w:val="none"/>
                <w:lang w:val="en-US" w:eastAsia="zh-CN" w:bidi="ar"/>
              </w:rPr>
              <w:t xml:space="preserve">m</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面积（㎡）</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道板（㎡）</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2600*22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57200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包括新晨路</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奥园路南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凤翔路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建业路南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薛冶路南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漕河园区路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后肖园区路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勤奋路南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正强路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富强路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126*9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1134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富康路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凤玉路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4400*12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漕河路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南漕河路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中山路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4920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庆南电镀厂西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4770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南广场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116783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龙城大道-</w:t>
            </w:r>
            <w:r>
              <w:rPr>
                <w:rStyle w:val="1322"/>
                <w:rFonts w:hint="eastAsia" w:ascii="宋体" w:hAnsi="宋体" w:eastAsia="宋体" w:cs="宋体"/>
                <w:color w:val="000000"/>
                <w:sz w:val="24"/>
                <w:szCs w:val="24"/>
                <w:highlight w:val="none"/>
                <w:lang w:bidi="ar"/>
              </w:rPr>
              <w:t xml:space="preserve">黄河路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148630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河海路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春江路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114040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德胜河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113260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龙城大道-</w:t>
            </w:r>
            <w:r>
              <w:rPr>
                <w:rStyle w:val="1322"/>
                <w:rFonts w:hint="eastAsia" w:ascii="宋体" w:hAnsi="宋体" w:eastAsia="宋体" w:cs="宋体"/>
                <w:color w:val="000000"/>
                <w:sz w:val="24"/>
                <w:szCs w:val="24"/>
                <w:highlight w:val="none"/>
                <w:lang w:bidi="ar"/>
              </w:rPr>
              <w:t xml:space="preserve">黄河路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79200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春江路指示牌-</w:t>
            </w:r>
            <w:r>
              <w:rPr>
                <w:rStyle w:val="1322"/>
                <w:rFonts w:hint="eastAsia" w:ascii="宋体" w:hAnsi="宋体" w:eastAsia="宋体" w:cs="宋体"/>
                <w:color w:val="000000"/>
                <w:sz w:val="24"/>
                <w:szCs w:val="24"/>
                <w:highlight w:val="none"/>
                <w:lang w:bidi="ar"/>
              </w:rPr>
              <w:t xml:space="preserve">彩钢厂围墙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187200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机场路绿道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天山路-</w:t>
            </w:r>
            <w:r>
              <w:rPr>
                <w:rStyle w:val="1322"/>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汉江路绿道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w:t>
            </w:r>
            <w:r>
              <w:rPr>
                <w:rStyle w:val="1322"/>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吕汤路（黄河路至运河路）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4500*18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81000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吕西路（黄河路至汉江路）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汉江路（德胜河至吕西桥）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河海路（吕汤路至吕西路）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吕墅工业园区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德胜北路（吕汤路至德胜桥）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17500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清明路（德胜南路至德胜北路）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吕墅小学门前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200*120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德胜南路（吕汤路至吕墅中学）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吕墅四路（吕墅西路-</w:t>
            </w:r>
            <w:r>
              <w:rPr>
                <w:rStyle w:val="1323"/>
                <w:rFonts w:hint="eastAsia" w:ascii="宋体" w:hAnsi="宋体" w:eastAsia="宋体" w:cs="宋体"/>
                <w:color w:val="000000"/>
                <w:sz w:val="24"/>
                <w:szCs w:val="24"/>
                <w:highlight w:val="none"/>
                <w:lang w:bidi="ar"/>
              </w:rPr>
              <w:t xml:space="preserve">吕汤路）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吕墅二路（汉江路-</w:t>
            </w:r>
            <w:r>
              <w:rPr>
                <w:rStyle w:val="1323"/>
                <w:rFonts w:hint="eastAsia" w:ascii="宋体" w:hAnsi="宋体" w:eastAsia="宋体" w:cs="宋体"/>
                <w:color w:val="000000"/>
                <w:sz w:val="24"/>
                <w:szCs w:val="24"/>
                <w:highlight w:val="none"/>
                <w:lang w:bidi="ar"/>
              </w:rPr>
              <w:t xml:space="preserve">吕四路）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Style w:val="1323"/>
                <w:rFonts w:hint="eastAsia" w:ascii="宋体" w:hAnsi="宋体" w:eastAsia="宋体" w:cs="宋体"/>
                <w:color w:val="000000"/>
                <w:sz w:val="24"/>
                <w:szCs w:val="24"/>
                <w:highlight w:val="none"/>
                <w:lang w:bidi="ar"/>
              </w:rPr>
              <w:t xml:space="preserve">春江路南端、红河路、漕河路</w:t>
            </w:r>
            <w:r>
              <w:rPr>
                <w:rFonts w:hint="eastAsia" w:ascii="宋体" w:hAnsi="宋体" w:eastAsia="宋体" w:cs="宋体"/>
                <w:color w:val="000000"/>
                <w:sz w:val="24"/>
                <w:szCs w:val="24"/>
                <w:highlight w:val="none"/>
                <w:lang w:bidi="ar"/>
              </w:rPr>
              <w:t xml:space="preserve">9</w:t>
            </w:r>
            <w:r>
              <w:rPr>
                <w:rStyle w:val="1323"/>
                <w:rFonts w:hint="eastAsia" w:ascii="宋体" w:hAnsi="宋体" w:eastAsia="宋体" w:cs="宋体"/>
                <w:color w:val="000000"/>
                <w:sz w:val="24"/>
                <w:szCs w:val="24"/>
                <w:highlight w:val="none"/>
                <w:lang w:bidi="ar"/>
              </w:rPr>
              <w:t xml:space="preserve">号、晨光树脂门前、多棱多路、龙江北路</w:t>
            </w:r>
            <w:r>
              <w:rPr>
                <w:rFonts w:hint="eastAsia" w:ascii="宋体" w:hAnsi="宋体" w:eastAsia="宋体" w:cs="宋体"/>
                <w:color w:val="000000"/>
                <w:sz w:val="24"/>
                <w:szCs w:val="24"/>
                <w:highlight w:val="none"/>
                <w:lang w:bidi="ar"/>
              </w:rPr>
              <w:t xml:space="preserve">10-1</w:t>
            </w:r>
            <w:r>
              <w:rPr>
                <w:rStyle w:val="1323"/>
                <w:rFonts w:hint="eastAsia" w:ascii="宋体" w:hAnsi="宋体" w:eastAsia="宋体" w:cs="宋体"/>
                <w:color w:val="000000"/>
                <w:sz w:val="24"/>
                <w:szCs w:val="24"/>
                <w:highlight w:val="none"/>
                <w:lang w:bidi="ar"/>
              </w:rPr>
              <w:t xml:space="preserve">门前道路等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16617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中心公园保洁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易腐垃圾处理点5</w:t>
            </w:r>
            <w:r>
              <w:rPr>
                <w:rStyle w:val="1322"/>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奥园路北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建业路北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薛冶路北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勤奋北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科勒路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280*20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丰田路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780*12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9360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金融路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6148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932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瀛平路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2700*10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24735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临平路</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730*30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21900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丽园路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3300*11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22106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锦园路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900*7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希望路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10580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南北街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北环西路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松林路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对窑路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常蒸厂西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240*4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庆南电镀厂西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4770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玉龙桥下</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325*40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玉龙桥匝道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550*14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7700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商贸中心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5752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农贸市场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7568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颜塘公园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16662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北广场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政府周边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新七路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1280</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lang w:bidi="ar"/>
              </w:rPr>
              <w:t xml:space="preserve">*12</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15360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虎丘路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330</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lang w:bidi="ar"/>
              </w:rPr>
              <w:t xml:space="preserve">*12</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3960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黄河路-</w:t>
            </w:r>
            <w:r>
              <w:rPr>
                <w:rStyle w:val="1322"/>
                <w:rFonts w:hint="eastAsia" w:ascii="宋体" w:hAnsi="宋体" w:eastAsia="宋体" w:cs="宋体"/>
                <w:color w:val="000000"/>
                <w:sz w:val="24"/>
                <w:szCs w:val="24"/>
                <w:highlight w:val="none"/>
                <w:lang w:bidi="ar"/>
              </w:rPr>
              <w:t xml:space="preserve">龙魏路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69000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黄河路-</w:t>
            </w:r>
            <w:r>
              <w:rPr>
                <w:rStyle w:val="1322"/>
                <w:rFonts w:hint="eastAsia" w:ascii="宋体" w:hAnsi="宋体" w:eastAsia="宋体" w:cs="宋体"/>
                <w:color w:val="000000"/>
                <w:sz w:val="24"/>
                <w:szCs w:val="24"/>
                <w:highlight w:val="none"/>
                <w:lang w:bidi="ar"/>
              </w:rPr>
              <w:t xml:space="preserve">玉龙桥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黄河西路</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包家桥</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186000</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13200</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冲洒5</w:t>
            </w:r>
            <w:r>
              <w:rPr>
                <w:rStyle w:val="1322"/>
                <w:rFonts w:hint="eastAsia" w:ascii="宋体" w:hAnsi="宋体" w:eastAsia="宋体" w:cs="宋体"/>
                <w:color w:val="000000"/>
                <w:sz w:val="24"/>
                <w:szCs w:val="24"/>
                <w:highlight w:val="none"/>
                <w:lang w:bidi="ar"/>
              </w:rPr>
              <w:t xml:space="preserve">遍</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top"/>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生命健康产业园区保洁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419336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吴家场、对窑村保洁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新增农民乐园，扣除松林别墅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103160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雁荡公园、北广场、雁荡河两侧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29000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646"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春江路北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1047米*30米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奥园路南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其他薛家镇区域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道路为覆盖死角</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薛家园区道路</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河海路-龙江路</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5400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2700112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185141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总计</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2885253</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c>
          <w:tcPr>
            <w:gridSpan w:val="3"/>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费用合计</w:t>
            </w:r>
            <w:r>
              <w:rPr>
                <w:rFonts w:ascii="宋体" w:hAnsi="宋体" w:eastAsia="宋体" w:cs="宋体"/>
                <w:color w:val="000000"/>
                <w:sz w:val="24"/>
                <w:szCs w:val="24"/>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831"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2.公厕、垃圾中转站水电费及维修报价表</w:t>
      </w:r>
      <w:r>
        <w:rPr>
          <w:rFonts w:hint="eastAsia" w:ascii="宋体" w:hAnsi="宋体" w:eastAsia="宋体" w:cs="宋体"/>
          <w:b/>
          <w:bCs/>
          <w:color w:val="000000"/>
          <w:sz w:val="24"/>
          <w:szCs w:val="24"/>
          <w:highlight w:val="none"/>
          <w:lang w:val="en-US"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242"/>
        <w:gridCol w:w="1856"/>
        <w:gridCol w:w="1469"/>
        <w:gridCol w:w="1577"/>
        <w:gridCol w:w="1555"/>
        <w:gridCol w:w="1589"/>
      </w:tblGrid>
      <w:tr>
        <w:trPr>
          <w:trHeight w:val="510"/>
        </w:trPr>
        <w:tc>
          <w:tcPr>
            <w:gridSpan w:val="6"/>
            <w:tcBorders>
              <w:top w:val="single" w:color="000000" w:sz="4" w:space="0"/>
              <w:left w:val="single" w:color="000000" w:sz="4" w:space="0"/>
              <w:bottom w:val="single" w:color="000000" w:sz="4" w:space="0"/>
              <w:right w:val="single" w:color="000000" w:sz="4" w:space="0"/>
            </w:tcBorders>
            <w:tcW w:w="9288" w:type="dxa"/>
            <w:vAlign w:val="center"/>
            <w:textDirection w:val="lrTb"/>
            <w:noWrap/>
          </w:tcPr>
          <w:p>
            <w:pPr>
              <w:pStyle w:val="1068"/>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val="en-US" w:eastAsia="zh-CN"/>
              </w:rPr>
              <w:t xml:space="preserve">公厕水电费及维修费</w:t>
            </w:r>
            <w:r>
              <w:rPr>
                <w:rFonts w:hint="eastAsia" w:ascii="宋体" w:hAnsi="宋体" w:eastAsia="宋体" w:cs="宋体"/>
                <w:b/>
                <w:bCs/>
                <w:color w:val="000000"/>
                <w:sz w:val="24"/>
                <w:szCs w:val="24"/>
                <w:highlight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公厕名称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水电费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吕墅幼儿园旁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吕墅菜场南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商贸中心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九村东侧商铺公厕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国土所公厕</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七天小公园</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庆阳路公厕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北广场公厕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薛家北街公厕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松林桥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步行街公厕</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临平路公厕</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288" w:type="dxa"/>
            <w:vAlign w:val="center"/>
            <w:textDirection w:val="lrTb"/>
            <w:noWrap/>
          </w:tcPr>
          <w:p>
            <w:pPr>
              <w:pStyle w:val="1068"/>
              <w:jc w:val="both"/>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二、</w:t>
            </w:r>
            <w:r>
              <w:rPr>
                <w:rFonts w:hint="eastAsia" w:ascii="宋体" w:hAnsi="宋体" w:eastAsia="宋体" w:cs="宋体"/>
                <w:b/>
                <w:bCs/>
                <w:color w:val="000000"/>
                <w:sz w:val="24"/>
                <w:szCs w:val="24"/>
                <w:highlight w:val="none"/>
                <w:lang w:val="en-US" w:eastAsia="zh-CN"/>
              </w:rPr>
              <w:t xml:space="preserve">垃圾中转站维修费</w:t>
            </w:r>
            <w:r>
              <w:rPr>
                <w:rFonts w:hint="eastAsia" w:ascii="宋体" w:hAnsi="宋体" w:eastAsia="宋体" w:cs="宋体"/>
                <w:color w:val="000000"/>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水电费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中转站</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三、总计</w:t>
            </w:r>
            <w:r>
              <w:rPr>
                <w:rFonts w:hint="eastAsia" w:ascii="宋体" w:hAnsi="宋体" w:eastAsia="宋体" w:cs="宋体"/>
                <w:color w:val="000000"/>
                <w:sz w:val="24"/>
                <w:szCs w:val="24"/>
                <w:highlight w:val="none"/>
                <w:lang w:bidi="ar"/>
              </w:rPr>
            </w:r>
            <w:r/>
          </w:p>
        </w:tc>
        <w:tc>
          <w:tcPr>
            <w:gridSpan w:val="4"/>
            <w:tcBorders>
              <w:top w:val="single" w:color="000000" w:sz="4" w:space="0"/>
              <w:left w:val="single" w:color="000000" w:sz="4" w:space="0"/>
              <w:bottom w:val="single" w:color="000000" w:sz="4" w:space="0"/>
              <w:right w:val="single" w:color="000000" w:sz="4" w:space="0"/>
            </w:tcBorders>
            <w:tcW w:w="6190" w:type="dxa"/>
            <w:vAlign w:val="center"/>
            <w:textDirection w:val="lrTb"/>
            <w:noWrap w:val="false"/>
          </w:tcPr>
          <w:p>
            <w:pPr>
              <w:pStyle w:val="1068"/>
              <w:jc w:val="center"/>
              <w:rPr>
                <w:rFonts w:ascii="宋体" w:hAnsi="宋体" w:eastAsia="宋体" w:cs="宋体"/>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公厕水电费+公厕维修费+垃圾中转站维修费</w:t>
            </w:r>
            <w:r>
              <w:rPr>
                <w:rFonts w:ascii="宋体" w:hAnsi="宋体" w:eastAsia="宋体" w:cs="宋体"/>
                <w:color w:val="000000"/>
                <w:sz w:val="24"/>
                <w:szCs w:val="24"/>
                <w:highlight w:val="none"/>
                <w:lang w:val="en-US"/>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1068"/>
              <w:jc w:val="center"/>
              <w:rPr>
                <w:rFonts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年份</w:t>
            </w:r>
            <w:r>
              <w:rPr>
                <w:rFonts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2026年</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2027年</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2028年</w:t>
            </w:r>
            <w:r>
              <w:rPr>
                <w:rFonts w:hint="eastAsia" w:ascii="宋体" w:hAnsi="宋体" w:eastAsia="宋体" w:cs="宋体"/>
                <w:color w:val="000000"/>
                <w:sz w:val="24"/>
                <w:szCs w:val="24"/>
                <w:highlight w:val="none"/>
                <w:lang w:val="en-US" w:eastAsia="zh-CN" w:bidi="ar-SA"/>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单年总计</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288" w:type="dxa"/>
            <w:vAlign w:val="center"/>
            <w:textDirection w:val="lrTb"/>
            <w:noWrap/>
          </w:tcPr>
          <w:p>
            <w:pPr>
              <w:pStyle w:val="106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注：2025年10月1日-2027年9月30日部分公厕维保期内，维保期内公厕不再支付维保费，维保外的公厕维保费用为4000元/座/年。</w:t>
            </w:r>
            <w:r>
              <w:rPr>
                <w:rFonts w:hint="eastAsia" w:ascii="宋体" w:hAnsi="宋体" w:eastAsia="宋体" w:cs="宋体"/>
                <w:color w:val="000000"/>
                <w:sz w:val="24"/>
                <w:szCs w:val="24"/>
                <w:highlight w:val="none"/>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3.镇区绿化养护报价表</w:t>
      </w:r>
      <w:r>
        <w:rPr>
          <w:rFonts w:hint="eastAsia" w:ascii="宋体" w:hAnsi="宋体" w:eastAsia="宋体" w:cs="宋体"/>
          <w:b/>
          <w:bCs/>
          <w:color w:val="000000"/>
          <w:sz w:val="24"/>
          <w:szCs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766"/>
        <w:gridCol w:w="955"/>
        <w:gridCol w:w="1159"/>
        <w:gridCol w:w="1404"/>
        <w:gridCol w:w="2290"/>
      </w:tblGrid>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148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W w:w="51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Style w:val="1324"/>
                <w:rFonts w:hint="eastAsia" w:ascii="宋体" w:hAnsi="宋体" w:eastAsia="宋体" w:cs="宋体"/>
                <w:color w:val="000000"/>
                <w:sz w:val="24"/>
                <w:szCs w:val="24"/>
                <w:highlight w:val="none"/>
                <w:lang w:bidi="ar"/>
              </w:rPr>
              <w:t xml:space="preserve">面积（m</w:t>
            </w:r>
            <w:r>
              <w:rPr>
                <w:rStyle w:val="1325"/>
                <w:rFonts w:hint="eastAsia" w:ascii="宋体" w:hAnsi="宋体" w:eastAsia="宋体" w:cs="宋体"/>
                <w:color w:val="000000"/>
                <w:sz w:val="24"/>
                <w:szCs w:val="24"/>
                <w:highlight w:val="none"/>
                <w:lang w:bidi="ar"/>
              </w:rPr>
              <w:t xml:space="preserve">2</w:t>
            </w:r>
            <w:r>
              <w:rPr>
                <w:rStyle w:val="1324"/>
                <w:rFonts w:hint="eastAsia" w:ascii="宋体" w:hAnsi="宋体" w:eastAsia="宋体" w:cs="宋体"/>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115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w:t>
            </w:r>
            <w:r>
              <w:rPr>
                <w:rStyle w:val="1324"/>
                <w:rFonts w:hint="eastAsia" w:ascii="宋体" w:hAnsi="宋体" w:eastAsia="宋体" w:cs="宋体"/>
                <w:color w:val="000000"/>
                <w:sz w:val="24"/>
                <w:szCs w:val="24"/>
                <w:highlight w:val="none"/>
                <w:lang w:bidi="ar"/>
              </w:rPr>
              <w:t xml:space="preserve">m</w:t>
            </w:r>
            <w:r>
              <w:rPr>
                <w:rStyle w:val="1325"/>
                <w:rFonts w:hint="eastAsia" w:ascii="宋体" w:hAnsi="宋体" w:eastAsia="宋体" w:cs="宋体"/>
                <w:color w:val="000000"/>
                <w:sz w:val="24"/>
                <w:szCs w:val="24"/>
                <w:highlight w:val="none"/>
                <w:lang w:bidi="ar"/>
              </w:rPr>
              <w:t xml:space="preserve">2</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140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对窑村居民乐园</w:t>
            </w:r>
            <w:r>
              <w:rPr>
                <w:rFonts w:hint="eastAsia" w:ascii="宋体" w:hAnsi="宋体" w:eastAsia="宋体" w:cs="宋体"/>
                <w:color w:val="000000"/>
                <w:sz w:val="24"/>
                <w:szCs w:val="24"/>
                <w:highlight w:val="none"/>
                <w:lang w:bidi="ar"/>
              </w:rPr>
            </w:r>
            <w:r/>
          </w:p>
        </w:tc>
        <w:tc>
          <w:tcPr>
            <w:tcW w:w="51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2310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吴家场农民乐园周边等</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12750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企业服务投资中心</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颜塘公园</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23063</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八村北广场</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7092</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4S店</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10743</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顺翔路污水泵站</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4S店合力叉车周边</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春江路垃圾中转站</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机电产业园道路绿化</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101007</w:t>
            </w:r>
            <w:r>
              <w:rPr>
                <w:rFonts w:hint="eastAsia" w:ascii="宋体" w:hAnsi="宋体" w:eastAsia="宋体" w:cs="宋体"/>
                <w:color w:val="000000"/>
                <w:sz w:val="24"/>
                <w:szCs w:val="24"/>
                <w:highlight w:val="none"/>
                <w:lang w:val="en-US" w:eastAsia="zh-CN"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吕墅老街及吕汤路北段</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16045</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镇区道路（庆阳路、凤翔路、奥园路、小公园）</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165366</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丽园路（奥园路-顺园路）东渡二期</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5900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平阳路（玉龙路-锦园路）医院南门</w:t>
            </w:r>
            <w:r>
              <w:rPr>
                <w:rFonts w:hint="eastAsia" w:ascii="宋体" w:hAnsi="宋体" w:eastAsia="宋体" w:cs="宋体"/>
                <w:color w:val="000000"/>
                <w:sz w:val="24"/>
                <w:szCs w:val="24"/>
                <w:highlight w:val="none"/>
                <w:lang w:bidi="ar"/>
              </w:rPr>
            </w:r>
            <w:r/>
          </w:p>
        </w:tc>
        <w:tc>
          <w:tcPr>
            <w:tcW w:w="51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766</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瀛平路（玉龙路-瀛平桥）医院北门</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1460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丽园路工商所周边</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顺园路天逸城外围</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8650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春江路樱花慢行道</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5638</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区镇绿化交接处及其他无人管护区域</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五座桥、庆阳路草花、顺园路、薛冶路桥东侧绿化带</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凤凰湖西苑凤凰花园周边</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12800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顺园八村2期汽车站东围墙</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顺园八村2期围墙外</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1370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薛冶路(黄河路-汉江路)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5250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顺园路(正强路-龙城大道)</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汉江路(玉龙路-薛冶路)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凤翔路（黄河路-汉江路）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勤奋路（河海路-北漕河路）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tabs>
                <w:tab w:val="left" w:pos="42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w:t>
            </w:r>
            <w:r>
              <w:rPr>
                <w:rFonts w:hint="eastAsia" w:ascii="宋体" w:hAnsi="宋体" w:eastAsia="宋体" w:cs="宋体"/>
                <w:color w:val="000000"/>
                <w:sz w:val="24"/>
                <w:szCs w:val="24"/>
                <w:highlight w:val="none"/>
                <w:lang w:val="en-US" w:eastAsia="zh-CN"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临平路(济业路-丽园路)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3778</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val="en-US" w:eastAsia="zh-CN"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吕墅二路(博怕路-汉江路)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11440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gridSpan w:val="2"/>
            <w:tcW w:w="348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440728</w:t>
            </w:r>
            <w:r>
              <w:rPr>
                <w:rFonts w:hint="eastAsia" w:ascii="宋体" w:hAnsi="宋体" w:eastAsia="宋体" w:cs="宋体"/>
                <w:color w:val="000000"/>
                <w:sz w:val="24"/>
                <w:szCs w:val="24"/>
                <w:highlight w:val="none"/>
                <w:lang w:val="en-US" w:eastAsia="zh-CN" w:bidi="ar"/>
              </w:rPr>
            </w:r>
            <w:r/>
          </w:p>
        </w:tc>
        <w:tc>
          <w:tcPr>
            <w:tcW w:w="623"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4.外围绿化养护报价表</w:t>
      </w:r>
      <w:r>
        <w:rPr>
          <w:rFonts w:hint="eastAsia" w:ascii="宋体" w:hAnsi="宋体" w:eastAsia="宋体" w:cs="宋体"/>
          <w:b/>
          <w:bCs/>
          <w:color w:val="000000"/>
          <w:sz w:val="24"/>
          <w:szCs w:val="24"/>
          <w:highlight w:val="none"/>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050"/>
        <w:gridCol w:w="1241"/>
        <w:gridCol w:w="1252"/>
        <w:gridCol w:w="1475"/>
        <w:gridCol w:w="1560"/>
      </w:tblGrid>
      <w:tr>
        <w:trPr>
          <w:trHeight w:val="30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Style w:val="1324"/>
                <w:rFonts w:hint="eastAsia" w:ascii="宋体" w:hAnsi="宋体" w:eastAsia="宋体" w:cs="宋体"/>
                <w:color w:val="000000"/>
                <w:sz w:val="24"/>
                <w:szCs w:val="24"/>
                <w:highlight w:val="none"/>
                <w:lang w:bidi="ar"/>
              </w:rPr>
              <w:t xml:space="preserve">面积（m</w:t>
            </w:r>
            <w:r>
              <w:rPr>
                <w:rStyle w:val="1325"/>
                <w:rFonts w:hint="eastAsia" w:ascii="宋体" w:hAnsi="宋体" w:eastAsia="宋体" w:cs="宋体"/>
                <w:color w:val="000000"/>
                <w:sz w:val="24"/>
                <w:szCs w:val="24"/>
                <w:highlight w:val="none"/>
                <w:lang w:bidi="ar"/>
              </w:rPr>
              <w:t xml:space="preserve">2</w:t>
            </w:r>
            <w:r>
              <w:rPr>
                <w:rStyle w:val="1324"/>
                <w:rFonts w:hint="eastAsia" w:ascii="宋体" w:hAnsi="宋体" w:eastAsia="宋体" w:cs="宋体"/>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w:t>
            </w:r>
            <w:r>
              <w:rPr>
                <w:rStyle w:val="1324"/>
                <w:rFonts w:hint="eastAsia" w:ascii="宋体" w:hAnsi="宋体" w:eastAsia="宋体" w:cs="宋体"/>
                <w:color w:val="000000"/>
                <w:sz w:val="24"/>
                <w:szCs w:val="24"/>
                <w:highlight w:val="none"/>
                <w:lang w:bidi="ar"/>
              </w:rPr>
              <w:t xml:space="preserve">m</w:t>
            </w:r>
            <w:r>
              <w:rPr>
                <w:rStyle w:val="1325"/>
                <w:rFonts w:hint="eastAsia" w:ascii="宋体" w:hAnsi="宋体" w:eastAsia="宋体" w:cs="宋体"/>
                <w:color w:val="000000"/>
                <w:sz w:val="24"/>
                <w:szCs w:val="24"/>
                <w:highlight w:val="none"/>
                <w:lang w:bidi="ar"/>
              </w:rPr>
              <w:t xml:space="preserve">2</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雁荡河水利风景区</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49"/>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中心公园廉政广场草坪</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7500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四季常青(包含草籽)</w:t>
            </w:r>
            <w:r>
              <w:rPr>
                <w:rFonts w:hint="eastAsia" w:ascii="宋体" w:hAnsi="宋体" w:eastAsia="宋体" w:cs="宋体"/>
                <w:color w:val="000000"/>
                <w:sz w:val="24"/>
                <w:szCs w:val="24"/>
                <w:highlight w:val="none"/>
                <w:lang w:val="en-US" w:eastAsia="zh-CN"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中心广场绿化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44858</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北漕河路新增道路绿化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38"/>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建业路新增道路绿化（薛冶路西、北漕河路中间以南-河海路）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南漕河路新增道路绿化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瀛平路新增道路绿化（建业路-春江路）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9450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新晨路新增道路绿化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129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镇区工业园区道路绿化苗圃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170301</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新龙河泵站苗圃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16667</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8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龙江高架东-科勒路北侧苗圃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882"/>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龙江路高架东-科勒路南侧苗圃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72369.5</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8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滨河绿地苗圃（叶家苗圃）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凤凰湖壹号东侧地块绿化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四季常青(包含草籽)</w:t>
            </w: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河道绿化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区镇交接处、部分企业门前及无人养护区域</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河海路与建业路东北侧苗圃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4624</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龙江路与龙城大道苗圃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玉龙路与龙城大道苗圃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富康路支路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丽园路（薛冶路-春江路）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春江路（瀛平路-丽园路）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悠活城（顺园路西）</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汉江路慢行道（一期）</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凤翔路改造</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7838</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26</w:t>
            </w:r>
            <w:r>
              <w:rPr>
                <w:rFonts w:hint="eastAsia" w:ascii="宋体" w:hAnsi="宋体" w:eastAsia="宋体" w:cs="宋体"/>
                <w:color w:val="000000"/>
                <w:sz w:val="24"/>
                <w:szCs w:val="24"/>
                <w:highlight w:val="none"/>
                <w:lang w:val="en-US" w:eastAsia="zh-CN"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顺园路(正强路-汉江路)</w:t>
            </w:r>
            <w:r>
              <w:rPr>
                <w:rFonts w:hint="eastAsia" w:ascii="宋体" w:hAnsi="宋体" w:eastAsia="宋体" w:cs="宋体"/>
                <w:color w:val="000000"/>
                <w:sz w:val="24"/>
                <w:szCs w:val="24"/>
                <w:highlight w:val="none"/>
                <w:lang w:val="en-US" w:eastAsia="zh-CN"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37560</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897"/>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w:t>
            </w:r>
            <w:r>
              <w:rPr>
                <w:rFonts w:hint="eastAsia" w:ascii="宋体" w:hAnsi="宋体" w:eastAsia="宋体" w:cs="宋体"/>
                <w:color w:val="000000"/>
                <w:sz w:val="24"/>
                <w:szCs w:val="24"/>
                <w:highlight w:val="none"/>
                <w:lang w:val="en-US" w:eastAsia="zh-CN"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童子河南段，北童子河，建业河</w:t>
            </w:r>
            <w:r>
              <w:rPr>
                <w:rFonts w:hint="eastAsia" w:ascii="宋体" w:hAnsi="宋体" w:eastAsia="宋体" w:cs="宋体"/>
                <w:color w:val="000000"/>
                <w:sz w:val="24"/>
                <w:szCs w:val="24"/>
                <w:highlight w:val="none"/>
                <w:lang w:val="en-US" w:eastAsia="zh-CN"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14447</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270"/>
        </w:trPr>
        <w:tc>
          <w:tcPr>
            <w:tcW w:w="379" w:type="dxa"/>
            <w:vAlign w:val="top"/>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594614.5</w:t>
            </w:r>
            <w:r>
              <w:rPr>
                <w:rFonts w:hint="eastAsia" w:ascii="宋体" w:hAnsi="宋体" w:eastAsia="宋体" w:cs="宋体"/>
                <w:color w:val="000000"/>
                <w:sz w:val="24"/>
                <w:szCs w:val="24"/>
                <w:highlight w:val="none"/>
                <w:lang w:val="en-US" w:eastAsia="zh-CN"/>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5.城际铁路和沪宁高速沿线报价表</w:t>
      </w:r>
      <w:r>
        <w:rPr>
          <w:rFonts w:hint="eastAsia" w:ascii="宋体" w:hAnsi="宋体" w:eastAsia="宋体" w:cs="宋体"/>
          <w:b/>
          <w:bCs/>
          <w:color w:val="000000"/>
          <w:sz w:val="24"/>
          <w:szCs w:val="24"/>
          <w:highlight w:val="none"/>
          <w:lang w:val="en-US" w:eastAsia="zh-CN"/>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14"/>
        <w:gridCol w:w="2862"/>
        <w:gridCol w:w="859"/>
        <w:gridCol w:w="1159"/>
        <w:gridCol w:w="1404"/>
        <w:gridCol w:w="2290"/>
      </w:tblGrid>
      <w:tr>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面积（</w:t>
            </w:r>
            <w:r>
              <w:rPr>
                <w:rFonts w:hint="eastAsia" w:ascii="宋体" w:hAnsi="宋体" w:eastAsia="宋体" w:cs="宋体"/>
                <w:b/>
                <w:bCs/>
                <w:color w:val="000000"/>
                <w:sz w:val="24"/>
                <w:szCs w:val="24"/>
                <w:highlight w:val="none"/>
                <w:lang w:bidi="ar"/>
              </w:rPr>
              <w:t xml:space="preserve">亩</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val="en-US" w:eastAsia="zh-CN" w:bidi="ar"/>
              </w:rPr>
              <w:t xml:space="preserve">元/亩/年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城际铁路和沪宁高速沿线</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949.2</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c>
      </w:tr>
    </w:tbl>
    <w:p>
      <w:pPr>
        <w:pStyle w:val="106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6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68"/>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68"/>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68"/>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8"/>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6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8"/>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68"/>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68"/>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68"/>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bl>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6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68"/>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6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6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bl>
    <w:p>
      <w:pPr>
        <w:pStyle w:val="106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8"/>
        <w:rPr>
          <w:rFonts w:ascii="宋体" w:hAnsi="宋体"/>
          <w:color w:val="000000"/>
          <w:sz w:val="24"/>
          <w:szCs w:val="20"/>
          <w:highlight w:val="none"/>
        </w:rPr>
      </w:pPr>
      <w:r>
        <w:rPr>
          <w:rFonts w:ascii="宋体" w:hAnsi="宋体"/>
          <w:color w:val="000000"/>
          <w:sz w:val="24"/>
          <w:szCs w:val="20"/>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lang w:val="en-US" w:eastAsia="zh-CN"/>
        </w:rPr>
        <w:t xml:space="preserve">9</w:t>
      </w:r>
      <w:r>
        <w:rPr>
          <w:rFonts w:hint="eastAsia" w:ascii="宋体" w:hAnsi="宋体"/>
          <w:b/>
          <w:color w:val="000000"/>
          <w:sz w:val="24"/>
          <w:szCs w:val="20"/>
          <w:highlight w:val="none"/>
        </w:rPr>
        <w:t xml:space="preserve">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29"/>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29"/>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2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2"/>
          <w:rFonts w:hint="eastAsia" w:ascii="方正魏碑_GBK" w:hAnsi="方正魏碑_GBK" w:eastAsia="方正魏碑_GBK" w:cs="方正魏碑_GBK"/>
          <w:color w:val="000000"/>
          <w:highlight w:val="none"/>
          <w:u w:val="single"/>
          <w:shd w:val="clear" w:color="auto" w:fill="ffffff"/>
        </w:rPr>
        <w:t xml:space="preserve">（产品名称1）</w:t>
      </w:r>
      <w:r>
        <w:rPr>
          <w:rStyle w:val="1142"/>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2"/>
          <w:rFonts w:hint="eastAsia" w:ascii="方正魏碑_GBK" w:hAnsi="方正魏碑_GBK" w:eastAsia="方正魏碑_GBK" w:cs="方正魏碑_GBK"/>
          <w:color w:val="000000"/>
          <w:highlight w:val="none"/>
          <w:u w:val="single"/>
          <w:shd w:val="clear" w:color="auto" w:fill="ffffff"/>
        </w:rPr>
        <w:t xml:space="preserve">（厂名）</w:t>
      </w:r>
      <w:r>
        <w:rPr>
          <w:rStyle w:val="1142"/>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2"/>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2"/>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2"/>
          <w:rFonts w:hint="eastAsia" w:ascii="方正魏碑_GBK" w:hAnsi="方正魏碑_GBK" w:eastAsia="方正魏碑_GBK" w:cs="方正魏碑_GBK"/>
          <w:color w:val="000000"/>
          <w:highlight w:val="none"/>
          <w:u w:val="single"/>
          <w:shd w:val="clear" w:color="auto" w:fill="ffffff"/>
        </w:rPr>
        <w:t xml:space="preserve">（规定</w:t>
      </w:r>
      <w:r>
        <w:rPr>
          <w:rStyle w:val="1142"/>
          <w:rFonts w:ascii="方正魏碑_GBK" w:hAnsi="方正魏碑_GBK" w:eastAsia="方正魏碑_GBK" w:cs="方正魏碑_GBK"/>
          <w:color w:val="000000"/>
          <w:highlight w:val="none"/>
          <w:u w:val="single"/>
          <w:shd w:val="clear" w:color="auto" w:fill="ffffff"/>
        </w:rPr>
        <w:t xml:space="preserve">比例</w:t>
      </w:r>
      <w:r>
        <w:rPr>
          <w:rStyle w:val="1142"/>
          <w:rFonts w:hint="eastAsia" w:ascii="方正魏碑_GBK" w:hAnsi="方正魏碑_GBK" w:eastAsia="方正魏碑_GBK" w:cs="方正魏碑_GBK"/>
          <w:color w:val="000000"/>
          <w:highlight w:val="none"/>
          <w:u w:val="single"/>
          <w:shd w:val="clear" w:color="auto" w:fill="ffffff"/>
        </w:rPr>
        <w:t xml:space="preserve">）</w:t>
      </w:r>
      <w:r>
        <w:rPr>
          <w:rStyle w:val="1142"/>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2"/>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2"/>
          <w:rFonts w:hint="eastAsia" w:ascii="方正魏碑_GBK" w:hAnsi="方正魏碑_GBK" w:eastAsia="方正魏碑_GBK" w:cs="方正魏碑_GBK"/>
          <w:color w:val="000000"/>
          <w:highlight w:val="none"/>
          <w:u w:val="single"/>
          <w:shd w:val="clear" w:color="auto" w:fill="ffffff"/>
        </w:rPr>
        <w:t xml:space="preserve">（关键</w:t>
      </w:r>
      <w:r>
        <w:rPr>
          <w:rStyle w:val="1142"/>
          <w:rFonts w:ascii="方正魏碑_GBK" w:hAnsi="方正魏碑_GBK" w:eastAsia="方正魏碑_GBK" w:cs="方正魏碑_GBK"/>
          <w:color w:val="000000"/>
          <w:highlight w:val="none"/>
          <w:u w:val="single"/>
          <w:shd w:val="clear" w:color="auto" w:fill="ffffff"/>
        </w:rPr>
        <w:t xml:space="preserve">组件</w:t>
      </w:r>
      <w:r>
        <w:rPr>
          <w:rStyle w:val="1142"/>
          <w:rFonts w:hint="eastAsia" w:ascii="方正魏碑_GBK" w:hAnsi="方正魏碑_GBK" w:eastAsia="方正魏碑_GBK" w:cs="方正魏碑_GBK"/>
          <w:color w:val="000000"/>
          <w:highlight w:val="none"/>
          <w:u w:val="single"/>
          <w:shd w:val="clear" w:color="auto" w:fill="ffffff"/>
        </w:rPr>
        <w:t xml:space="preserve">）</w:t>
      </w:r>
      <w:r>
        <w:rPr>
          <w:rStyle w:val="1142"/>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2"/>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2"/>
          <w:rFonts w:hint="eastAsia" w:ascii="方正魏碑_GBK" w:hAnsi="方正魏碑_GBK" w:eastAsia="方正魏碑_GBK" w:cs="方正魏碑_GBK"/>
          <w:color w:val="000000"/>
          <w:highlight w:val="none"/>
          <w:u w:val="single"/>
          <w:shd w:val="clear" w:color="auto" w:fill="ffffff"/>
        </w:rPr>
        <w:t xml:space="preserve">（关键工序）</w:t>
      </w:r>
      <w:r>
        <w:rPr>
          <w:rStyle w:val="1142"/>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2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2"/>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2"/>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2"/>
          <w:rFonts w:hint="eastAsia" w:ascii="方正魏碑_GBK" w:hAnsi="方正魏碑_GBK" w:eastAsia="方正魏碑_GBK" w:cs="方正魏碑_GBK"/>
          <w:color w:val="000000"/>
          <w:highlight w:val="none"/>
          <w:u w:val="single"/>
          <w:shd w:val="clear" w:color="auto" w:fill="ffffff"/>
        </w:rPr>
        <w:t xml:space="preserve">（规定</w:t>
      </w:r>
      <w:r>
        <w:rPr>
          <w:rStyle w:val="1142"/>
          <w:rFonts w:ascii="方正魏碑_GBK" w:hAnsi="方正魏碑_GBK" w:eastAsia="方正魏碑_GBK" w:cs="方正魏碑_GBK"/>
          <w:color w:val="000000"/>
          <w:highlight w:val="none"/>
          <w:u w:val="single"/>
          <w:shd w:val="clear" w:color="auto" w:fill="ffffff"/>
        </w:rPr>
        <w:t xml:space="preserve">比例</w:t>
      </w:r>
      <w:r>
        <w:rPr>
          <w:rStyle w:val="114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2"/>
          <w:rFonts w:hint="eastAsia" w:ascii="方正魏碑_GBK" w:hAnsi="方正魏碑_GBK" w:eastAsia="方正魏碑_GBK" w:cs="方正魏碑_GBK"/>
          <w:color w:val="000000"/>
          <w:highlight w:val="none"/>
          <w:u w:val="single"/>
          <w:shd w:val="clear" w:color="auto" w:fill="ffffff"/>
        </w:rPr>
        <w:t xml:space="preserve">（关键</w:t>
      </w:r>
      <w:r>
        <w:rPr>
          <w:rStyle w:val="1142"/>
          <w:rFonts w:ascii="方正魏碑_GBK" w:hAnsi="方正魏碑_GBK" w:eastAsia="方正魏碑_GBK" w:cs="方正魏碑_GBK"/>
          <w:color w:val="000000"/>
          <w:highlight w:val="none"/>
          <w:u w:val="single"/>
          <w:shd w:val="clear" w:color="auto" w:fill="ffffff"/>
        </w:rPr>
        <w:t xml:space="preserve">组件</w:t>
      </w:r>
      <w:r>
        <w:rPr>
          <w:rStyle w:val="114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2"/>
          <w:rFonts w:hint="eastAsia" w:ascii="方正魏碑_GBK" w:hAnsi="方正魏碑_GBK" w:eastAsia="方正魏碑_GBK" w:cs="方正魏碑_GBK"/>
          <w:color w:val="000000"/>
          <w:highlight w:val="none"/>
          <w:u w:val="single"/>
          <w:shd w:val="clear" w:color="auto" w:fill="ffffff"/>
        </w:rPr>
        <w:t xml:space="preserve">（产品名称</w:t>
      </w:r>
      <w:r>
        <w:rPr>
          <w:rStyle w:val="1142"/>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2"/>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2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2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29"/>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29"/>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29"/>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29"/>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6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br w:type="page" w:clear="all"/>
      </w:r>
      <w:r>
        <w:rPr>
          <w:rFonts w:hint="eastAsia" w:ascii="宋体" w:hAnsi="宋体" w:eastAsia="宋体" w:cs="Times New Roman"/>
          <w:b/>
          <w:color w:val="000000"/>
          <w:sz w:val="24"/>
          <w:highlight w:val="none"/>
          <w:lang w:val="en-US" w:eastAsia="zh-CN"/>
        </w:rPr>
        <w:t xml:space="preserve">10</w:t>
      </w:r>
      <w:r>
        <w:rPr>
          <w:rFonts w:hint="eastAsia" w:ascii="宋体" w:hAnsi="宋体" w:eastAsia="宋体" w:cs="Times New Roman"/>
          <w:b/>
          <w:color w:val="000000"/>
          <w:sz w:val="24"/>
          <w:highlight w:val="none"/>
        </w:rPr>
        <w:t xml:space="preserve">  项目实</w:t>
      </w:r>
      <w:r>
        <w:rPr>
          <w:rFonts w:hint="eastAsia" w:ascii="宋体" w:hAnsi="宋体"/>
          <w:b/>
          <w:color w:val="000000"/>
          <w:sz w:val="24"/>
          <w:highlight w:val="none"/>
        </w:rPr>
        <w:t xml:space="preserve">施方案等，包括但不限于如下主题：</w:t>
      </w:r>
      <w:r>
        <w:rPr>
          <w:rFonts w:ascii="宋体" w:hAnsi="宋体"/>
          <w:b/>
          <w:color w:val="000000"/>
          <w:sz w:val="24"/>
          <w:szCs w:val="20"/>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68"/>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68"/>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68"/>
        <w:spacing w:line="360" w:lineRule="auto"/>
        <w:rPr>
          <w:rFonts w:ascii="宋体" w:hAnsi="宋体"/>
          <w:b/>
          <w:color w:val="000000"/>
          <w:sz w:val="24"/>
          <w:highlight w:val="none"/>
        </w:rPr>
        <w:outlineLvl w:val="2"/>
      </w:pPr>
      <w:r>
        <w:rPr>
          <w:rFonts w:hint="eastAsia" w:ascii="宋体" w:hAnsi="宋体"/>
          <w:b/>
          <w:color w:val="000000"/>
          <w:sz w:val="24"/>
          <w:highlight w:val="none"/>
        </w:rPr>
        <w:br w:type="page" w:clear="all"/>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6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68"/>
        <w:spacing w:line="360" w:lineRule="auto"/>
        <w:rPr>
          <w:rFonts w:ascii="宋体" w:hAnsi="宋体"/>
          <w:color w:val="000000"/>
          <w:sz w:val="22"/>
          <w:highlight w:val="none"/>
        </w:rPr>
      </w:pPr>
      <w:r>
        <w:rPr>
          <w:rFonts w:ascii="宋体" w:hAnsi="宋体"/>
          <w:color w:val="000000"/>
          <w:sz w:val="22"/>
          <w:highlight w:val="none"/>
        </w:rPr>
      </w:r>
      <w:r/>
    </w:p>
    <w:p>
      <w:pPr>
        <w:pStyle w:val="106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6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6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68"/>
        <w:spacing w:line="360" w:lineRule="auto"/>
        <w:rPr>
          <w:rFonts w:ascii="宋体" w:hAnsi="宋体"/>
          <w:color w:val="000000"/>
          <w:sz w:val="24"/>
          <w:highlight w:val="none"/>
        </w:rPr>
      </w:pPr>
      <w:r>
        <w:rPr>
          <w:rFonts w:ascii="宋体" w:hAnsi="宋体"/>
          <w:color w:val="000000"/>
          <w:sz w:val="24"/>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7" w:name="_Toc288738839"/>
      <w:r/>
      <w:bookmarkStart w:id="908" w:name="_Toc288738397"/>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68"/>
        <w:rPr>
          <w:rFonts w:ascii="宋体" w:hAnsi="宋体"/>
          <w:color w:val="000000"/>
          <w:sz w:val="24"/>
          <w:szCs w:val="20"/>
          <w:highlight w:val="none"/>
        </w:rPr>
      </w:pPr>
      <w:r>
        <w:rPr>
          <w:rFonts w:ascii="宋体" w:hAnsi="宋体"/>
          <w:color w:val="000000"/>
          <w:sz w:val="24"/>
          <w:szCs w:val="20"/>
          <w:highlight w:val="none"/>
        </w:rPr>
      </w:r>
      <w:r/>
    </w:p>
    <w:p>
      <w:pPr>
        <w:pStyle w:val="106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06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6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68"/>
        <w:spacing w:line="360" w:lineRule="auto"/>
        <w:rPr>
          <w:rFonts w:ascii="宋体" w:hAnsi="宋体" w:cs="宋体"/>
          <w:color w:val="000000"/>
          <w:sz w:val="24"/>
          <w:highlight w:val="none"/>
        </w:rPr>
      </w:pPr>
      <w:r>
        <w:rPr>
          <w:rFonts w:ascii="宋体" w:hAnsi="宋体" w:cs="宋体"/>
          <w:color w:val="000000"/>
          <w:sz w:val="24"/>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lang w:val="en-US" w:eastAsia="zh-CN"/>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6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jc w:val="center"/>
        <w:spacing w:line="360" w:lineRule="auto"/>
        <w:rPr>
          <w:rFonts w:hint="eastAsia" w:ascii="微软雅黑" w:hAnsi="微软雅黑" w:eastAsia="微软雅黑" w:cs="微软雅黑"/>
          <w:bCs/>
          <w:color w:val="000000"/>
          <w:sz w:val="24"/>
          <w:highlight w:val="none"/>
        </w:rPr>
      </w:pPr>
      <w:r>
        <w:rPr>
          <w:rFonts w:hint="eastAsia" w:ascii="微软雅黑" w:hAnsi="微软雅黑" w:eastAsia="微软雅黑" w:cs="微软雅黑"/>
          <w:b/>
          <w:color w:val="000000"/>
          <w:sz w:val="28"/>
          <w:szCs w:val="28"/>
          <w:highlight w:val="none"/>
        </w:rPr>
        <w:t xml:space="preserve">本招标文件的最终解释权归常州市城投建设工程招标有限公司所有</w:t>
      </w:r>
      <w:r>
        <w:rPr>
          <w:rFonts w:hint="eastAsia" w:ascii="微软雅黑" w:hAnsi="微软雅黑" w:eastAsia="微软雅黑" w:cs="微软雅黑"/>
          <w:bCs/>
          <w:color w:val="000000"/>
          <w:sz w:val="24"/>
          <w:highlight w:val="none"/>
        </w:rPr>
        <w:t xml:space="preserve">。</w:t>
      </w:r>
      <w:r>
        <w:rPr>
          <w:rFonts w:hint="eastAsia" w:ascii="微软雅黑" w:hAnsi="微软雅黑" w:eastAsia="微软雅黑" w:cs="微软雅黑"/>
          <w:bCs/>
          <w:color w:val="000000"/>
          <w:sz w:val="24"/>
          <w:highlight w:val="none"/>
        </w:rPr>
      </w:r>
      <w:r/>
    </w:p>
    <w:p>
      <w:pPr>
        <w:pStyle w:val="1068"/>
        <w:jc w:val="center"/>
        <w:rPr>
          <w:rFonts w:hint="eastAsia" w:ascii="微软雅黑" w:hAnsi="微软雅黑" w:eastAsia="微软雅黑" w:cs="微软雅黑"/>
          <w:b/>
          <w:color w:val="000000"/>
          <w:sz w:val="32"/>
          <w:highlight w:val="none"/>
        </w:rPr>
      </w:pPr>
      <w:r>
        <w:rPr>
          <w:rFonts w:hint="eastAsia" w:ascii="微软雅黑" w:hAnsi="微软雅黑" w:eastAsia="微软雅黑" w:cs="微软雅黑"/>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right="360"/>
      <w:tabs>
        <w:tab w:val="center" w:pos="4153" w:leader="none"/>
        <w:tab w:val="right" w:pos="8306" w:leader="none"/>
      </w:tabs>
      <w:rPr>
        <w:rStyle w:val="1140"/>
      </w:rPr>
      <w:framePr w:wrap="around" w:vAnchor="text" w:hAnchor="margin" w:y="1"/>
    </w:pPr>
    <w:r>
      <w:rPr>
        <w:rStyle w:val="1140"/>
      </w:rPr>
    </w:r>
    <w:r/>
  </w:p>
  <w:p>
    <w:pPr>
      <w:pStyle w:val="111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center" w:y="1"/>
    </w:pPr>
    <w:r>
      <w:fldChar w:fldCharType="begin"/>
    </w:r>
    <w:r>
      <w:rPr>
        <w:rStyle w:val="1140"/>
      </w:rPr>
      <w:instrText xml:space="preserve">PAGE  </w:instrText>
    </w:r>
    <w:r>
      <w:fldChar w:fldCharType="end"/>
    </w:r>
    <w:r>
      <w:rPr>
        <w:rStyle w:val="1140"/>
      </w:rPr>
    </w:r>
    <w:r/>
  </w:p>
  <w:p>
    <w:pPr>
      <w:pStyle w:val="111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right" w:y="1"/>
    </w:pPr>
    <w:r>
      <w:rPr>
        <w:rStyle w:val="1140"/>
      </w:rPr>
    </w:r>
    <w:r/>
  </w:p>
  <w:p>
    <w:pPr>
      <w:pStyle w:val="111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right" w:y="1"/>
    </w:pPr>
    <w:r>
      <w:rPr>
        <w:rStyle w:val="1140"/>
      </w:rPr>
      <w:fldChar w:fldCharType="begin"/>
    </w:r>
    <w:r>
      <w:rPr>
        <w:rStyle w:val="1140"/>
      </w:rPr>
      <w:instrText xml:space="preserve">PAGE  </w:instrText>
    </w:r>
    <w:r>
      <w:rPr>
        <w:rStyle w:val="1140"/>
      </w:rPr>
      <w:fldChar w:fldCharType="end"/>
    </w:r>
    <w:r>
      <w:rPr>
        <w:rStyle w:val="1140"/>
      </w:rPr>
    </w:r>
    <w:r/>
  </w:p>
  <w:p>
    <w:pPr>
      <w:pStyle w:val="1116"/>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right" w:y="1"/>
    </w:pPr>
    <w:r>
      <w:rPr>
        <w:rStyle w:val="1140"/>
      </w:rPr>
      <w:fldChar w:fldCharType="begin"/>
    </w:r>
    <w:r>
      <w:rPr>
        <w:rStyle w:val="1140"/>
      </w:rPr>
      <w:instrText xml:space="preserve">PAGE  </w:instrText>
    </w:r>
    <w:r>
      <w:rPr>
        <w:rStyle w:val="1140"/>
      </w:rPr>
      <w:fldChar w:fldCharType="end"/>
    </w:r>
    <w:r>
      <w:rPr>
        <w:rStyle w:val="1140"/>
      </w:rPr>
    </w:r>
    <w:r/>
  </w:p>
  <w:p>
    <w:pPr>
      <w:pStyle w:val="1116"/>
      <w:ind w:right="360"/>
      <w:tabs>
        <w:tab w:val="center" w:pos="4153" w:leader="none"/>
        <w:tab w:val="right" w:pos="8306" w:leader="none"/>
      </w:tabs>
    </w:pPr>
    <w:r/>
    <w:r/>
  </w:p>
  <w:p>
    <w:pPr>
      <w:pStyle w:val="10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p>
    <w:pPr>
      <w:pStyle w:val="106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8"/>
        <w:ind w:left="4941" w:hanging="1140"/>
        <w:tabs>
          <w:tab w:val="num" w:pos="4941" w:leader="none"/>
        </w:tabs>
      </w:pPr>
      <w:rPr>
        <w:rFonts w:hint="eastAsia"/>
      </w:rPr>
    </w:lvl>
    <w:lvl w:ilvl="1">
      <w:start w:val="1"/>
      <w:numFmt w:val="lowerLetter"/>
      <w:isLgl w:val="false"/>
      <w:suff w:val="tab"/>
      <w:lvlText w:val="%2)"/>
      <w:lvlJc w:val="left"/>
      <w:pPr>
        <w:pStyle w:val="1068"/>
        <w:ind w:left="4641" w:hanging="420"/>
        <w:tabs>
          <w:tab w:val="num" w:pos="4641" w:leader="none"/>
        </w:tabs>
      </w:pPr>
    </w:lvl>
    <w:lvl w:ilvl="2">
      <w:start w:val="1"/>
      <w:numFmt w:val="lowerRoman"/>
      <w:isLgl w:val="false"/>
      <w:suff w:val="tab"/>
      <w:lvlText w:val="%3."/>
      <w:lvlJc w:val="right"/>
      <w:pPr>
        <w:pStyle w:val="1068"/>
        <w:ind w:left="5061" w:hanging="420"/>
        <w:tabs>
          <w:tab w:val="num" w:pos="5061" w:leader="none"/>
        </w:tabs>
      </w:pPr>
    </w:lvl>
    <w:lvl w:ilvl="3">
      <w:start w:val="1"/>
      <w:numFmt w:val="decimal"/>
      <w:isLgl w:val="false"/>
      <w:suff w:val="tab"/>
      <w:lvlText w:val="%4."/>
      <w:lvlJc w:val="left"/>
      <w:pPr>
        <w:pStyle w:val="1068"/>
        <w:ind w:left="5481" w:hanging="420"/>
        <w:tabs>
          <w:tab w:val="num" w:pos="5481" w:leader="none"/>
        </w:tabs>
      </w:pPr>
    </w:lvl>
    <w:lvl w:ilvl="4">
      <w:start w:val="1"/>
      <w:numFmt w:val="lowerLetter"/>
      <w:isLgl w:val="false"/>
      <w:suff w:val="tab"/>
      <w:lvlText w:val="%5)"/>
      <w:lvlJc w:val="left"/>
      <w:pPr>
        <w:pStyle w:val="1068"/>
        <w:ind w:left="5901" w:hanging="420"/>
        <w:tabs>
          <w:tab w:val="num" w:pos="5901" w:leader="none"/>
        </w:tabs>
      </w:pPr>
    </w:lvl>
    <w:lvl w:ilvl="5">
      <w:start w:val="1"/>
      <w:numFmt w:val="lowerRoman"/>
      <w:isLgl w:val="false"/>
      <w:suff w:val="tab"/>
      <w:lvlText w:val="%6."/>
      <w:lvlJc w:val="right"/>
      <w:pPr>
        <w:pStyle w:val="1068"/>
        <w:ind w:left="6321" w:hanging="420"/>
        <w:tabs>
          <w:tab w:val="num" w:pos="6321" w:leader="none"/>
        </w:tabs>
      </w:pPr>
    </w:lvl>
    <w:lvl w:ilvl="6">
      <w:start w:val="1"/>
      <w:numFmt w:val="decimal"/>
      <w:isLgl w:val="false"/>
      <w:suff w:val="tab"/>
      <w:lvlText w:val="%7."/>
      <w:lvlJc w:val="left"/>
      <w:pPr>
        <w:pStyle w:val="1068"/>
        <w:ind w:left="6741" w:hanging="420"/>
        <w:tabs>
          <w:tab w:val="num" w:pos="6741" w:leader="none"/>
        </w:tabs>
      </w:pPr>
    </w:lvl>
    <w:lvl w:ilvl="7">
      <w:start w:val="1"/>
      <w:numFmt w:val="lowerLetter"/>
      <w:isLgl w:val="false"/>
      <w:suff w:val="tab"/>
      <w:lvlText w:val="%8)"/>
      <w:lvlJc w:val="left"/>
      <w:pPr>
        <w:pStyle w:val="1068"/>
        <w:ind w:left="7161" w:hanging="420"/>
        <w:tabs>
          <w:tab w:val="num" w:pos="7161" w:leader="none"/>
        </w:tabs>
      </w:pPr>
    </w:lvl>
    <w:lvl w:ilvl="8">
      <w:start w:val="1"/>
      <w:numFmt w:val="lowerRoman"/>
      <w:isLgl w:val="false"/>
      <w:suff w:val="tab"/>
      <w:lvlText w:val="%9."/>
      <w:lvlJc w:val="right"/>
      <w:pPr>
        <w:pStyle w:val="1068"/>
        <w:ind w:left="7581" w:hanging="420"/>
        <w:tabs>
          <w:tab w:val="num" w:pos="7581" w:leader="none"/>
        </w:tabs>
      </w:pPr>
    </w:lvl>
  </w:abstractNum>
  <w:abstractNum w:abstractNumId="1">
    <w:multiLevelType w:val="hybridMultilevel"/>
    <w:lvl w:ilvl="0">
      <w:start w:val="1"/>
      <w:numFmt w:val="decimal"/>
      <w:pStyle w:val="1176"/>
      <w:isLgl w:val="false"/>
      <w:suff w:val="tab"/>
      <w:lvlText w:val="%1."/>
      <w:lvlJc w:val="left"/>
      <w:pPr>
        <w:pStyle w:val="1068"/>
        <w:ind w:left="420" w:hanging="420"/>
      </w:pPr>
    </w:lvl>
    <w:lvl w:ilvl="1">
      <w:start w:val="1"/>
      <w:numFmt w:val="decimal"/>
      <w:isLgl w:val="false"/>
      <w:suff w:val="tab"/>
      <w:lvlText w:val="（%2）"/>
      <w:lvlJc w:val="left"/>
      <w:pPr>
        <w:pStyle w:val="1068"/>
        <w:ind w:left="1140" w:hanging="720"/>
        <w:tabs>
          <w:tab w:val="num" w:pos="1140" w:leader="none"/>
        </w:tabs>
      </w:pPr>
      <w:rPr>
        <w:rFonts w:hint="eastAsia"/>
      </w:r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2">
    <w:multiLevelType w:val="hybridMultilevel"/>
    <w:lvl w:ilvl="0">
      <w:start w:val="1"/>
      <w:numFmt w:val="lowerLetter"/>
      <w:pStyle w:val="1251"/>
      <w:isLgl w:val="false"/>
      <w:suff w:val="tab"/>
      <w:lvlText w:val="%1)"/>
      <w:lvlJc w:val="left"/>
      <w:pPr>
        <w:pStyle w:val="1068"/>
        <w:ind w:left="902" w:hanging="420"/>
      </w:pPr>
      <w:rPr>
        <w:color w:val="000000"/>
      </w:rPr>
    </w:lvl>
    <w:lvl w:ilvl="1">
      <w:start w:val="1"/>
      <w:numFmt w:val="lowerLetter"/>
      <w:isLgl w:val="false"/>
      <w:suff w:val="tab"/>
      <w:lvlText w:val="%2)"/>
      <w:lvlJc w:val="left"/>
      <w:pPr>
        <w:pStyle w:val="1068"/>
        <w:ind w:left="1322" w:hanging="420"/>
      </w:pPr>
    </w:lvl>
    <w:lvl w:ilvl="2">
      <w:start w:val="1"/>
      <w:numFmt w:val="lowerRoman"/>
      <w:isLgl w:val="false"/>
      <w:suff w:val="tab"/>
      <w:lvlText w:val="%3."/>
      <w:lvlJc w:val="right"/>
      <w:pPr>
        <w:pStyle w:val="1068"/>
        <w:ind w:left="1742" w:hanging="420"/>
      </w:pPr>
    </w:lvl>
    <w:lvl w:ilvl="3">
      <w:start w:val="1"/>
      <w:numFmt w:val="decimal"/>
      <w:isLgl w:val="false"/>
      <w:suff w:val="tab"/>
      <w:lvlText w:val="%4."/>
      <w:lvlJc w:val="left"/>
      <w:pPr>
        <w:pStyle w:val="1068"/>
        <w:ind w:left="2162" w:hanging="420"/>
      </w:pPr>
    </w:lvl>
    <w:lvl w:ilvl="4">
      <w:start w:val="1"/>
      <w:numFmt w:val="lowerLetter"/>
      <w:isLgl w:val="false"/>
      <w:suff w:val="tab"/>
      <w:lvlText w:val="%5)"/>
      <w:lvlJc w:val="left"/>
      <w:pPr>
        <w:pStyle w:val="1068"/>
        <w:ind w:left="2582" w:hanging="420"/>
      </w:pPr>
    </w:lvl>
    <w:lvl w:ilvl="5">
      <w:start w:val="1"/>
      <w:numFmt w:val="lowerRoman"/>
      <w:isLgl w:val="false"/>
      <w:suff w:val="tab"/>
      <w:lvlText w:val="%6."/>
      <w:lvlJc w:val="right"/>
      <w:pPr>
        <w:pStyle w:val="1068"/>
        <w:ind w:left="3002" w:hanging="420"/>
      </w:pPr>
    </w:lvl>
    <w:lvl w:ilvl="6">
      <w:start w:val="1"/>
      <w:numFmt w:val="decimal"/>
      <w:isLgl w:val="false"/>
      <w:suff w:val="tab"/>
      <w:lvlText w:val="%7."/>
      <w:lvlJc w:val="left"/>
      <w:pPr>
        <w:pStyle w:val="1068"/>
        <w:ind w:left="3422" w:hanging="420"/>
      </w:pPr>
    </w:lvl>
    <w:lvl w:ilvl="7">
      <w:start w:val="1"/>
      <w:numFmt w:val="lowerLetter"/>
      <w:isLgl w:val="false"/>
      <w:suff w:val="tab"/>
      <w:lvlText w:val="%8)"/>
      <w:lvlJc w:val="left"/>
      <w:pPr>
        <w:pStyle w:val="1068"/>
        <w:ind w:left="3842" w:hanging="420"/>
      </w:pPr>
    </w:lvl>
    <w:lvl w:ilvl="8">
      <w:start w:val="1"/>
      <w:numFmt w:val="lowerRoman"/>
      <w:isLgl w:val="false"/>
      <w:suff w:val="tab"/>
      <w:lvlText w:val="%9."/>
      <w:lvlJc w:val="right"/>
      <w:pPr>
        <w:pStyle w:val="1068"/>
        <w:ind w:left="4262" w:hanging="420"/>
      </w:pPr>
    </w:lvl>
  </w:abstractNum>
  <w:abstractNum w:abstractNumId="3">
    <w:multiLevelType w:val="hybridMultilevel"/>
    <w:lvl w:ilvl="0">
      <w:start w:val="1"/>
      <w:numFmt w:val="decimal"/>
      <w:pStyle w:val="1221"/>
      <w:isLgl w:val="false"/>
      <w:suff w:val="tab"/>
      <w:lvlText w:val="%1."/>
      <w:lvlJc w:val="left"/>
      <w:pPr>
        <w:pStyle w:val="106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0"/>
      <w:isLgl w:val="false"/>
      <w:suff w:val="nothing"/>
      <w:lvlText w:val="%1　"/>
      <w:lvlJc w:val="left"/>
      <w:pPr>
        <w:pStyle w:val="106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8"/>
        <w:ind w:left="-25" w:firstLine="0"/>
      </w:pPr>
      <w:rPr>
        <w:rFonts w:ascii="Times New Roman" w:hAnsi="Times New Roman" w:eastAsia="黑体"/>
        <w:b/>
        <w:i w:val="0"/>
        <w:sz w:val="28"/>
      </w:rPr>
    </w:lvl>
    <w:lvl w:ilvl="3">
      <w:start w:val="1"/>
      <w:numFmt w:val="decimal"/>
      <w:pStyle w:val="1206"/>
      <w:isLgl w:val="false"/>
      <w:suff w:val="nothing"/>
      <w:lvlText w:val="%1.%2.%3.%4　"/>
      <w:lvlJc w:val="left"/>
      <w:pPr>
        <w:pStyle w:val="106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8"/>
        <w:ind w:left="-25" w:firstLine="0"/>
      </w:pPr>
      <w:rPr>
        <w:rFonts w:ascii="Times New Roman" w:hAnsi="Times New Roman" w:eastAsia="宋体"/>
        <w:b/>
        <w:i w:val="0"/>
        <w:sz w:val="28"/>
      </w:rPr>
    </w:lvl>
    <w:lvl w:ilvl="6">
      <w:start w:val="1"/>
      <w:numFmt w:val="lowerLetter"/>
      <w:pStyle w:val="1227"/>
      <w:isLgl w:val="false"/>
      <w:suff w:val="tab"/>
      <w:lvlText w:val="%7) "/>
      <w:lvlJc w:val="left"/>
      <w:pPr>
        <w:pStyle w:val="1068"/>
        <w:ind w:left="-125" w:firstLine="400"/>
        <w:tabs>
          <w:tab w:val="num" w:pos="635" w:leader="none"/>
        </w:tabs>
      </w:pPr>
      <w:rPr>
        <w:rFonts w:ascii="Times New Roman" w:hAnsi="Times New Roman" w:eastAsia="宋体"/>
        <w:b/>
        <w:i w:val="0"/>
        <w:color w:val="000000"/>
        <w:sz w:val="28"/>
        <w:u w:val="none"/>
      </w:rPr>
    </w:lvl>
    <w:lvl w:ilvl="7">
      <w:start w:val="1"/>
      <w:numFmt w:val="decimal"/>
      <w:pStyle w:val="1190"/>
      <w:isLgl w:val="false"/>
      <w:suff w:val="tab"/>
      <w:lvlText w:val="%8) "/>
      <w:lvlJc w:val="left"/>
      <w:pPr>
        <w:pStyle w:val="106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68"/>
        <w:ind w:left="768" w:hanging="360"/>
        <w:tabs>
          <w:tab w:val="num" w:pos="768" w:leader="none"/>
        </w:tabs>
      </w:pPr>
      <w:rPr>
        <w:rFonts w:hint="eastAsia"/>
      </w:rPr>
    </w:lvl>
    <w:lvl w:ilvl="1">
      <w:start w:val="1"/>
      <w:numFmt w:val="decimal"/>
      <w:pStyle w:val="1208"/>
      <w:isLgl w:val="false"/>
      <w:suff w:val="tab"/>
      <w:lvlText w:val="%2、"/>
      <w:lvlJc w:val="left"/>
      <w:pPr>
        <w:pStyle w:val="1068"/>
        <w:ind w:left="1188" w:hanging="360"/>
        <w:tabs>
          <w:tab w:val="num" w:pos="1188" w:leader="none"/>
        </w:tabs>
      </w:pPr>
      <w:rPr>
        <w:rFonts w:hint="eastAsia"/>
      </w:rPr>
    </w:lvl>
    <w:lvl w:ilvl="2">
      <w:start w:val="1"/>
      <w:numFmt w:val="decimal"/>
      <w:isLgl w:val="false"/>
      <w:suff w:val="tab"/>
      <w:lvlText w:val="（%3）"/>
      <w:lvlJc w:val="left"/>
      <w:pPr>
        <w:pStyle w:val="1068"/>
        <w:ind w:left="1968" w:hanging="720"/>
        <w:tabs>
          <w:tab w:val="num" w:pos="1968" w:leader="none"/>
        </w:tabs>
      </w:pPr>
      <w:rPr>
        <w:rFonts w:hint="eastAsia"/>
        <w:u w:val="none"/>
      </w:rPr>
    </w:lvl>
    <w:lvl w:ilvl="3">
      <w:start w:val="1"/>
      <w:numFmt w:val="decimal"/>
      <w:isLgl w:val="false"/>
      <w:suff w:val="tab"/>
      <w:lvlText w:val="%4."/>
      <w:lvlJc w:val="left"/>
      <w:pPr>
        <w:pStyle w:val="1068"/>
        <w:ind w:left="2088" w:hanging="420"/>
        <w:tabs>
          <w:tab w:val="num" w:pos="2088" w:leader="none"/>
        </w:tabs>
      </w:pPr>
    </w:lvl>
    <w:lvl w:ilvl="4">
      <w:start w:val="1"/>
      <w:numFmt w:val="lowerLetter"/>
      <w:isLgl w:val="false"/>
      <w:suff w:val="tab"/>
      <w:lvlText w:val="%5)"/>
      <w:lvlJc w:val="left"/>
      <w:pPr>
        <w:pStyle w:val="1068"/>
        <w:ind w:left="2508" w:hanging="420"/>
        <w:tabs>
          <w:tab w:val="num" w:pos="2508" w:leader="none"/>
        </w:tabs>
      </w:pPr>
    </w:lvl>
    <w:lvl w:ilvl="5">
      <w:start w:val="1"/>
      <w:numFmt w:val="lowerRoman"/>
      <w:isLgl w:val="false"/>
      <w:suff w:val="tab"/>
      <w:lvlText w:val="%6."/>
      <w:lvlJc w:val="right"/>
      <w:pPr>
        <w:pStyle w:val="1068"/>
        <w:ind w:left="2928" w:hanging="420"/>
        <w:tabs>
          <w:tab w:val="num" w:pos="2928" w:leader="none"/>
        </w:tabs>
      </w:pPr>
    </w:lvl>
    <w:lvl w:ilvl="6">
      <w:start w:val="1"/>
      <w:numFmt w:val="decimal"/>
      <w:isLgl w:val="false"/>
      <w:suff w:val="tab"/>
      <w:lvlText w:val="%7."/>
      <w:lvlJc w:val="left"/>
      <w:pPr>
        <w:pStyle w:val="1068"/>
        <w:ind w:left="3348" w:hanging="420"/>
        <w:tabs>
          <w:tab w:val="num" w:pos="3348" w:leader="none"/>
        </w:tabs>
      </w:pPr>
    </w:lvl>
    <w:lvl w:ilvl="7">
      <w:start w:val="1"/>
      <w:numFmt w:val="lowerLetter"/>
      <w:isLgl w:val="false"/>
      <w:suff w:val="tab"/>
      <w:lvlText w:val="%8)"/>
      <w:lvlJc w:val="left"/>
      <w:pPr>
        <w:pStyle w:val="1068"/>
        <w:ind w:left="3768" w:hanging="420"/>
        <w:tabs>
          <w:tab w:val="num" w:pos="3768" w:leader="none"/>
        </w:tabs>
      </w:pPr>
    </w:lvl>
    <w:lvl w:ilvl="8">
      <w:start w:val="1"/>
      <w:numFmt w:val="lowerRoman"/>
      <w:isLgl w:val="false"/>
      <w:suff w:val="tab"/>
      <w:lvlText w:val="%9."/>
      <w:lvlJc w:val="right"/>
      <w:pPr>
        <w:pStyle w:val="1068"/>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68"/>
        <w:ind w:left="900" w:hanging="900"/>
        <w:tabs>
          <w:tab w:val="num" w:pos="900" w:leader="none"/>
        </w:tabs>
      </w:pPr>
      <w:rPr>
        <w:rFonts w:hint="eastAsia"/>
        <w:b/>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7">
    <w:multiLevelType w:val="hybridMultilevel"/>
    <w:lvl w:ilvl="0">
      <w:start w:val="1"/>
      <w:numFmt w:val="decimal"/>
      <w:pStyle w:val="1175"/>
      <w:isLgl w:val="false"/>
      <w:suff w:val="tab"/>
      <w:lvlText w:val="%1)"/>
      <w:lvlJc w:val="left"/>
      <w:pPr>
        <w:pStyle w:val="1068"/>
        <w:ind w:left="420" w:hanging="420"/>
      </w:pPr>
    </w:lvl>
    <w:lvl w:ilvl="1">
      <w:start w:val="1"/>
      <w:numFmt w:val="lowerLetter"/>
      <w:isLgl w:val="false"/>
      <w:suff w:val="tab"/>
      <w:lvlText w:val="%2)"/>
      <w:lvlJc w:val="left"/>
      <w:pPr>
        <w:pStyle w:val="1068"/>
        <w:ind w:left="840" w:hanging="420"/>
      </w:p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8">
    <w:multiLevelType w:val="hybridMultilevel"/>
    <w:lvl w:ilvl="0">
      <w:start w:val="1"/>
      <w:numFmt w:val="decimal"/>
      <w:pStyle w:val="1276"/>
      <w:isLgl w:val="false"/>
      <w:suff w:val="tab"/>
      <w:lvlText w:val="%1"/>
      <w:lvlJc w:val="left"/>
      <w:pPr>
        <w:pStyle w:val="1068"/>
        <w:ind w:left="680" w:hanging="680"/>
      </w:pPr>
      <w:rPr>
        <w:rFonts w:hint="eastAsia" w:ascii="宋体" w:hAnsi="宋体" w:eastAsia="宋体"/>
      </w:rPr>
    </w:lvl>
    <w:lvl w:ilvl="1">
      <w:start w:val="1"/>
      <w:numFmt w:val="decimal"/>
      <w:pStyle w:val="1277"/>
      <w:isLgl w:val="false"/>
      <w:suff w:val="tab"/>
      <w:lvlText w:val="%1.%2"/>
      <w:lvlJc w:val="left"/>
      <w:pPr>
        <w:pStyle w:val="1068"/>
        <w:ind w:left="851" w:hanging="851"/>
      </w:pPr>
      <w:rPr>
        <w:rFonts w:hint="eastAsia" w:ascii="宋体" w:hAnsi="宋体" w:eastAsia="宋体"/>
        <w:color w:val="000000"/>
      </w:rPr>
    </w:lvl>
    <w:lvl w:ilvl="2">
      <w:start w:val="1"/>
      <w:numFmt w:val="decimal"/>
      <w:pStyle w:val="1278"/>
      <w:isLgl w:val="false"/>
      <w:suff w:val="tab"/>
      <w:lvlText w:val="%1.%2.%3"/>
      <w:lvlJc w:val="left"/>
      <w:pPr>
        <w:pStyle w:val="1068"/>
        <w:ind w:left="851" w:hanging="851"/>
      </w:pPr>
      <w:rPr>
        <w:rFonts w:hint="eastAsia"/>
      </w:rPr>
    </w:lvl>
    <w:lvl w:ilvl="3">
      <w:start w:val="1"/>
      <w:numFmt w:val="decimal"/>
      <w:isLgl w:val="false"/>
      <w:suff w:val="tab"/>
      <w:lvlText w:val="%1.%2.%3.%4"/>
      <w:lvlJc w:val="left"/>
      <w:pPr>
        <w:pStyle w:val="1068"/>
        <w:ind w:left="680" w:hanging="680"/>
      </w:pPr>
      <w:rPr>
        <w:rFonts w:hint="eastAsia"/>
      </w:rPr>
    </w:lvl>
    <w:lvl w:ilvl="4">
      <w:start w:val="1"/>
      <w:numFmt w:val="decimal"/>
      <w:isLgl w:val="false"/>
      <w:suff w:val="tab"/>
      <w:lvlText w:val="%1.%2.%3.%4.%5"/>
      <w:lvlJc w:val="left"/>
      <w:pPr>
        <w:pStyle w:val="1068"/>
        <w:ind w:left="680" w:hanging="680"/>
      </w:pPr>
      <w:rPr>
        <w:rFonts w:hint="eastAsia"/>
      </w:rPr>
    </w:lvl>
    <w:lvl w:ilvl="5">
      <w:start w:val="1"/>
      <w:numFmt w:val="decimal"/>
      <w:isLgl w:val="false"/>
      <w:suff w:val="tab"/>
      <w:lvlText w:val="%1.%2.%3.%4.%5.%6"/>
      <w:lvlJc w:val="left"/>
      <w:pPr>
        <w:pStyle w:val="1068"/>
        <w:ind w:left="680" w:hanging="680"/>
      </w:pPr>
      <w:rPr>
        <w:rFonts w:hint="eastAsia"/>
      </w:rPr>
    </w:lvl>
    <w:lvl w:ilvl="6">
      <w:start w:val="1"/>
      <w:numFmt w:val="decimal"/>
      <w:isLgl w:val="false"/>
      <w:suff w:val="tab"/>
      <w:lvlText w:val="%1.%2.%3.%4.%5.%6.%7"/>
      <w:lvlJc w:val="left"/>
      <w:pPr>
        <w:pStyle w:val="1068"/>
        <w:ind w:left="680" w:hanging="680"/>
      </w:pPr>
      <w:rPr>
        <w:rFonts w:hint="eastAsia"/>
      </w:rPr>
    </w:lvl>
    <w:lvl w:ilvl="7">
      <w:start w:val="1"/>
      <w:numFmt w:val="decimal"/>
      <w:isLgl w:val="false"/>
      <w:suff w:val="tab"/>
      <w:lvlText w:val="%1.%2.%3.%4.%5.%6.%7.%8"/>
      <w:lvlJc w:val="left"/>
      <w:pPr>
        <w:pStyle w:val="1068"/>
        <w:ind w:left="680" w:hanging="680"/>
      </w:pPr>
      <w:rPr>
        <w:rFonts w:hint="eastAsia"/>
      </w:rPr>
    </w:lvl>
    <w:lvl w:ilvl="8">
      <w:start w:val="1"/>
      <w:numFmt w:val="decimal"/>
      <w:isLgl w:val="false"/>
      <w:suff w:val="tab"/>
      <w:lvlText w:val="%1.%2.%3.%4.%5.%6.%7.%8.%9"/>
      <w:lvlJc w:val="left"/>
      <w:pPr>
        <w:pStyle w:val="1068"/>
        <w:ind w:left="680" w:hanging="680"/>
      </w:pPr>
      <w:rPr>
        <w:rFonts w:hint="eastAsia"/>
      </w:rPr>
    </w:lvl>
  </w:abstractNum>
  <w:abstractNum w:abstractNumId="9">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name w:val="Heading 1"/>
    <w:basedOn w:val="1068"/>
    <w:next w:val="1068"/>
    <w:link w:val="891"/>
    <w:uiPriority w:val="9"/>
    <w:qFormat/>
    <w:pPr>
      <w:keepLines/>
      <w:keepNext/>
      <w:spacing w:before="480" w:after="200"/>
      <w:outlineLvl w:val="0"/>
    </w:pPr>
    <w:rPr>
      <w:rFonts w:ascii="Arial" w:hAnsi="Arial" w:eastAsia="Arial" w:cs="Arial"/>
      <w:sz w:val="40"/>
      <w:szCs w:val="40"/>
    </w:rPr>
  </w:style>
  <w:style w:type="character" w:styleId="891">
    <w:name w:val="Heading 1 Char"/>
    <w:link w:val="890"/>
    <w:uiPriority w:val="9"/>
    <w:rPr>
      <w:rFonts w:ascii="Arial" w:hAnsi="Arial" w:eastAsia="Arial" w:cs="Arial"/>
      <w:sz w:val="40"/>
      <w:szCs w:val="40"/>
    </w:rPr>
  </w:style>
  <w:style w:type="paragraph" w:styleId="892">
    <w:name w:val="Heading 2"/>
    <w:basedOn w:val="1068"/>
    <w:next w:val="1068"/>
    <w:link w:val="893"/>
    <w:uiPriority w:val="9"/>
    <w:unhideWhenUsed/>
    <w:qFormat/>
    <w:pPr>
      <w:keepLines/>
      <w:keepNext/>
      <w:spacing w:before="360" w:after="200"/>
      <w:outlineLvl w:val="1"/>
    </w:pPr>
    <w:rPr>
      <w:rFonts w:ascii="Arial" w:hAnsi="Arial" w:eastAsia="Arial" w:cs="Arial"/>
      <w:sz w:val="34"/>
    </w:rPr>
  </w:style>
  <w:style w:type="character" w:styleId="893">
    <w:name w:val="Heading 2 Char"/>
    <w:link w:val="892"/>
    <w:uiPriority w:val="9"/>
    <w:rPr>
      <w:rFonts w:ascii="Arial" w:hAnsi="Arial" w:eastAsia="Arial" w:cs="Arial"/>
      <w:sz w:val="34"/>
    </w:rPr>
  </w:style>
  <w:style w:type="paragraph" w:styleId="894">
    <w:name w:val="Heading 3"/>
    <w:basedOn w:val="1068"/>
    <w:next w:val="1068"/>
    <w:link w:val="895"/>
    <w:uiPriority w:val="9"/>
    <w:unhideWhenUsed/>
    <w:qFormat/>
    <w:pPr>
      <w:keepLines/>
      <w:keepNext/>
      <w:spacing w:before="320" w:after="200"/>
      <w:outlineLvl w:val="2"/>
    </w:pPr>
    <w:rPr>
      <w:rFonts w:ascii="Arial" w:hAnsi="Arial" w:eastAsia="Arial" w:cs="Arial"/>
      <w:sz w:val="30"/>
      <w:szCs w:val="30"/>
    </w:rPr>
  </w:style>
  <w:style w:type="character" w:styleId="895">
    <w:name w:val="Heading 3 Char"/>
    <w:link w:val="894"/>
    <w:uiPriority w:val="9"/>
    <w:rPr>
      <w:rFonts w:ascii="Arial" w:hAnsi="Arial" w:eastAsia="Arial" w:cs="Arial"/>
      <w:sz w:val="30"/>
      <w:szCs w:val="30"/>
    </w:rPr>
  </w:style>
  <w:style w:type="paragraph" w:styleId="896">
    <w:name w:val="Heading 4"/>
    <w:basedOn w:val="1068"/>
    <w:next w:val="1068"/>
    <w:link w:val="897"/>
    <w:uiPriority w:val="9"/>
    <w:unhideWhenUsed/>
    <w:qFormat/>
    <w:pPr>
      <w:keepLines/>
      <w:keepNext/>
      <w:spacing w:before="320" w:after="200"/>
      <w:outlineLvl w:val="3"/>
    </w:pPr>
    <w:rPr>
      <w:rFonts w:ascii="Arial" w:hAnsi="Arial" w:eastAsia="Arial" w:cs="Arial"/>
      <w:b/>
      <w:bCs/>
      <w:sz w:val="26"/>
      <w:szCs w:val="26"/>
    </w:rPr>
  </w:style>
  <w:style w:type="character" w:styleId="897">
    <w:name w:val="Heading 4 Char"/>
    <w:link w:val="896"/>
    <w:uiPriority w:val="9"/>
    <w:rPr>
      <w:rFonts w:ascii="Arial" w:hAnsi="Arial" w:eastAsia="Arial" w:cs="Arial"/>
      <w:b/>
      <w:bCs/>
      <w:sz w:val="26"/>
      <w:szCs w:val="26"/>
    </w:rPr>
  </w:style>
  <w:style w:type="paragraph" w:styleId="898">
    <w:name w:val="Heading 5"/>
    <w:basedOn w:val="1068"/>
    <w:next w:val="1068"/>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link w:val="898"/>
    <w:uiPriority w:val="9"/>
    <w:rPr>
      <w:rFonts w:ascii="Arial" w:hAnsi="Arial" w:eastAsia="Arial" w:cs="Arial"/>
      <w:b/>
      <w:bCs/>
      <w:sz w:val="24"/>
      <w:szCs w:val="24"/>
    </w:rPr>
  </w:style>
  <w:style w:type="paragraph" w:styleId="900">
    <w:name w:val="Heading 6"/>
    <w:basedOn w:val="1068"/>
    <w:next w:val="1068"/>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68"/>
    <w:next w:val="1068"/>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68"/>
    <w:next w:val="1068"/>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68"/>
    <w:next w:val="1068"/>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List Paragraph"/>
    <w:basedOn w:val="1068"/>
    <w:uiPriority w:val="34"/>
    <w:qFormat/>
    <w:pPr>
      <w:contextualSpacing/>
      <w:ind w:left="720"/>
    </w:pPr>
  </w:style>
  <w:style w:type="paragraph" w:styleId="909">
    <w:name w:val="No Spacing"/>
    <w:uiPriority w:val="1"/>
    <w:qFormat/>
    <w:pPr>
      <w:spacing w:before="0" w:after="0" w:line="240" w:lineRule="auto"/>
    </w:pPr>
  </w:style>
  <w:style w:type="paragraph" w:styleId="910">
    <w:name w:val="Title"/>
    <w:basedOn w:val="1068"/>
    <w:next w:val="1068"/>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1068"/>
    <w:next w:val="1068"/>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1068"/>
    <w:next w:val="1068"/>
    <w:link w:val="915"/>
    <w:uiPriority w:val="29"/>
    <w:qFormat/>
    <w:pPr>
      <w:ind w:left="720" w:right="720"/>
    </w:pPr>
    <w:rPr>
      <w:i/>
    </w:rPr>
  </w:style>
  <w:style w:type="character" w:styleId="915">
    <w:name w:val="Quote Char"/>
    <w:link w:val="914"/>
    <w:uiPriority w:val="29"/>
    <w:rPr>
      <w:i/>
    </w:rPr>
  </w:style>
  <w:style w:type="paragraph" w:styleId="916">
    <w:name w:val="Intense Quote"/>
    <w:basedOn w:val="1068"/>
    <w:next w:val="1068"/>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name w:val="Intense Quote Char"/>
    <w:link w:val="916"/>
    <w:uiPriority w:val="30"/>
    <w:rPr>
      <w:i/>
    </w:rPr>
  </w:style>
  <w:style w:type="paragraph" w:styleId="918">
    <w:name w:val="Header"/>
    <w:basedOn w:val="1068"/>
    <w:link w:val="919"/>
    <w:uiPriority w:val="99"/>
    <w:unhideWhenUsed/>
    <w:pPr>
      <w:spacing w:after="0" w:line="240" w:lineRule="auto"/>
      <w:tabs>
        <w:tab w:val="center" w:pos="7143" w:leader="none"/>
        <w:tab w:val="right" w:pos="14287" w:leader="none"/>
      </w:tabs>
    </w:pPr>
  </w:style>
  <w:style w:type="character" w:styleId="919">
    <w:name w:val="Header Char"/>
    <w:link w:val="918"/>
    <w:uiPriority w:val="99"/>
  </w:style>
  <w:style w:type="paragraph" w:styleId="920">
    <w:name w:val="Footer"/>
    <w:basedOn w:val="1068"/>
    <w:link w:val="923"/>
    <w:uiPriority w:val="99"/>
    <w:unhideWhenUsed/>
    <w:pPr>
      <w:spacing w:after="0" w:line="240" w:lineRule="auto"/>
      <w:tabs>
        <w:tab w:val="center" w:pos="7143" w:leader="none"/>
        <w:tab w:val="right" w:pos="14287" w:leader="none"/>
      </w:tabs>
    </w:pPr>
  </w:style>
  <w:style w:type="character" w:styleId="921">
    <w:name w:val="Footer Char"/>
    <w:link w:val="920"/>
    <w:uiPriority w:val="99"/>
  </w:style>
  <w:style w:type="paragraph" w:styleId="922">
    <w:name w:val="Caption"/>
    <w:basedOn w:val="1068"/>
    <w:next w:val="1068"/>
    <w:uiPriority w:val="35"/>
    <w:semiHidden/>
    <w:unhideWhenUsed/>
    <w:qFormat/>
    <w:pPr>
      <w:spacing w:line="276" w:lineRule="auto"/>
    </w:pPr>
    <w:rPr>
      <w:b/>
      <w:bCs/>
      <w:color w:val="4f81bd" w:themeColor="accent1"/>
      <w:sz w:val="18"/>
      <w:szCs w:val="18"/>
    </w:rPr>
  </w:style>
  <w:style w:type="character" w:styleId="923">
    <w:name w:val="Caption Char"/>
    <w:basedOn w:val="922"/>
    <w:link w:val="920"/>
    <w:uiPriority w:val="99"/>
  </w:style>
  <w:style w:type="table" w:styleId="9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0">
    <w:name w:val="Hyperlink"/>
    <w:uiPriority w:val="99"/>
    <w:unhideWhenUsed/>
    <w:rPr>
      <w:color w:val="0000ff" w:themeColor="hyperlink"/>
      <w:u w:val="single"/>
    </w:rPr>
  </w:style>
  <w:style w:type="paragraph" w:styleId="1051">
    <w:name w:val="footnote text"/>
    <w:basedOn w:val="1068"/>
    <w:link w:val="1052"/>
    <w:uiPriority w:val="99"/>
    <w:semiHidden/>
    <w:unhideWhenUsed/>
    <w:pPr>
      <w:spacing w:after="40" w:line="240" w:lineRule="auto"/>
    </w:pPr>
    <w:rPr>
      <w:sz w:val="18"/>
    </w:rPr>
  </w:style>
  <w:style w:type="character" w:styleId="1052">
    <w:name w:val="Footnote Text Char"/>
    <w:link w:val="1051"/>
    <w:uiPriority w:val="99"/>
    <w:rPr>
      <w:sz w:val="18"/>
    </w:rPr>
  </w:style>
  <w:style w:type="character" w:styleId="1053">
    <w:name w:val="footnote reference"/>
    <w:uiPriority w:val="99"/>
    <w:unhideWhenUsed/>
    <w:rPr>
      <w:vertAlign w:val="superscript"/>
    </w:rPr>
  </w:style>
  <w:style w:type="paragraph" w:styleId="1054">
    <w:name w:val="endnote text"/>
    <w:basedOn w:val="1068"/>
    <w:link w:val="1055"/>
    <w:uiPriority w:val="99"/>
    <w:semiHidden/>
    <w:unhideWhenUsed/>
    <w:pPr>
      <w:spacing w:after="0" w:line="240" w:lineRule="auto"/>
    </w:pPr>
    <w:rPr>
      <w:sz w:val="20"/>
    </w:rPr>
  </w:style>
  <w:style w:type="character" w:styleId="1055">
    <w:name w:val="Endnote Text Char"/>
    <w:link w:val="1054"/>
    <w:uiPriority w:val="99"/>
    <w:rPr>
      <w:sz w:val="20"/>
    </w:rPr>
  </w:style>
  <w:style w:type="character" w:styleId="1056">
    <w:name w:val="endnote reference"/>
    <w:uiPriority w:val="99"/>
    <w:semiHidden/>
    <w:unhideWhenUsed/>
    <w:rPr>
      <w:vertAlign w:val="superscript"/>
    </w:rPr>
  </w:style>
  <w:style w:type="paragraph" w:styleId="1057">
    <w:name w:val="toc 1"/>
    <w:basedOn w:val="1068"/>
    <w:next w:val="1068"/>
    <w:uiPriority w:val="39"/>
    <w:unhideWhenUsed/>
    <w:pPr>
      <w:ind w:left="0" w:right="0" w:firstLine="0"/>
      <w:spacing w:after="57"/>
    </w:pPr>
  </w:style>
  <w:style w:type="paragraph" w:styleId="1058">
    <w:name w:val="toc 2"/>
    <w:basedOn w:val="1068"/>
    <w:next w:val="1068"/>
    <w:uiPriority w:val="39"/>
    <w:unhideWhenUsed/>
    <w:pPr>
      <w:ind w:left="283" w:right="0" w:firstLine="0"/>
      <w:spacing w:after="57"/>
    </w:pPr>
  </w:style>
  <w:style w:type="paragraph" w:styleId="1059">
    <w:name w:val="toc 3"/>
    <w:basedOn w:val="1068"/>
    <w:next w:val="1068"/>
    <w:uiPriority w:val="39"/>
    <w:unhideWhenUsed/>
    <w:pPr>
      <w:ind w:left="567" w:right="0" w:firstLine="0"/>
      <w:spacing w:after="57"/>
    </w:pPr>
  </w:style>
  <w:style w:type="paragraph" w:styleId="1060">
    <w:name w:val="toc 4"/>
    <w:basedOn w:val="1068"/>
    <w:next w:val="1068"/>
    <w:uiPriority w:val="39"/>
    <w:unhideWhenUsed/>
    <w:pPr>
      <w:ind w:left="850" w:right="0" w:firstLine="0"/>
      <w:spacing w:after="57"/>
    </w:pPr>
  </w:style>
  <w:style w:type="paragraph" w:styleId="1061">
    <w:name w:val="toc 5"/>
    <w:basedOn w:val="1068"/>
    <w:next w:val="1068"/>
    <w:uiPriority w:val="39"/>
    <w:unhideWhenUsed/>
    <w:pPr>
      <w:ind w:left="1134" w:right="0" w:firstLine="0"/>
      <w:spacing w:after="57"/>
    </w:pPr>
  </w:style>
  <w:style w:type="paragraph" w:styleId="1062">
    <w:name w:val="toc 6"/>
    <w:basedOn w:val="1068"/>
    <w:next w:val="1068"/>
    <w:uiPriority w:val="39"/>
    <w:unhideWhenUsed/>
    <w:pPr>
      <w:ind w:left="1417" w:right="0" w:firstLine="0"/>
      <w:spacing w:after="57"/>
    </w:pPr>
  </w:style>
  <w:style w:type="paragraph" w:styleId="1063">
    <w:name w:val="toc 7"/>
    <w:basedOn w:val="1068"/>
    <w:next w:val="1068"/>
    <w:uiPriority w:val="39"/>
    <w:unhideWhenUsed/>
    <w:pPr>
      <w:ind w:left="1701" w:right="0" w:firstLine="0"/>
      <w:spacing w:after="57"/>
    </w:pPr>
  </w:style>
  <w:style w:type="paragraph" w:styleId="1064">
    <w:name w:val="toc 8"/>
    <w:basedOn w:val="1068"/>
    <w:next w:val="1068"/>
    <w:uiPriority w:val="39"/>
    <w:unhideWhenUsed/>
    <w:pPr>
      <w:ind w:left="1984" w:right="0" w:firstLine="0"/>
      <w:spacing w:after="57"/>
    </w:pPr>
  </w:style>
  <w:style w:type="paragraph" w:styleId="1065">
    <w:name w:val="toc 9"/>
    <w:basedOn w:val="1068"/>
    <w:next w:val="1068"/>
    <w:uiPriority w:val="39"/>
    <w:unhideWhenUsed/>
    <w:pPr>
      <w:ind w:left="2268" w:right="0" w:firstLine="0"/>
      <w:spacing w:after="57"/>
    </w:pPr>
  </w:style>
  <w:style w:type="paragraph" w:styleId="1066">
    <w:name w:val="TOC Heading"/>
    <w:uiPriority w:val="39"/>
    <w:unhideWhenUsed/>
  </w:style>
  <w:style w:type="paragraph" w:styleId="1067">
    <w:name w:val="table of figures"/>
    <w:basedOn w:val="1068"/>
    <w:next w:val="1068"/>
    <w:uiPriority w:val="99"/>
    <w:unhideWhenUsed/>
    <w:pPr>
      <w:spacing w:after="0" w:afterAutospacing="0"/>
    </w:pPr>
  </w:style>
  <w:style w:type="paragraph" w:styleId="1068" w:default="1">
    <w:name w:val="Normal"/>
    <w:next w:val="1080"/>
    <w:link w:val="1068"/>
    <w:qFormat/>
    <w:pPr>
      <w:jc w:val="both"/>
      <w:widowControl w:val="off"/>
    </w:pPr>
    <w:rPr>
      <w:sz w:val="21"/>
      <w:szCs w:val="24"/>
      <w:lang w:val="en-US" w:eastAsia="zh-CN" w:bidi="ar-SA"/>
    </w:rPr>
  </w:style>
  <w:style w:type="paragraph" w:styleId="1069">
    <w:name w:val="标题 1"/>
    <w:basedOn w:val="1068"/>
    <w:next w:val="1068"/>
    <w:link w:val="1082"/>
    <w:qFormat/>
    <w:pPr>
      <w:jc w:val="center"/>
      <w:keepLines/>
      <w:keepNext/>
      <w:spacing w:before="240" w:after="120" w:line="300" w:lineRule="auto"/>
      <w:outlineLvl w:val="0"/>
    </w:pPr>
    <w:rPr>
      <w:rFonts w:ascii="宋体"/>
      <w:b/>
      <w:sz w:val="32"/>
      <w:szCs w:val="20"/>
    </w:rPr>
  </w:style>
  <w:style w:type="paragraph" w:styleId="1070">
    <w:name w:val="标题 2"/>
    <w:basedOn w:val="1068"/>
    <w:next w:val="1084"/>
    <w:link w:val="1083"/>
    <w:qFormat/>
    <w:pPr>
      <w:jc w:val="center"/>
      <w:keepLines/>
      <w:keepNext/>
      <w:spacing w:before="120" w:line="300" w:lineRule="auto"/>
      <w:outlineLvl w:val="1"/>
    </w:pPr>
    <w:rPr>
      <w:rFonts w:ascii="Arial" w:hAnsi="Arial" w:eastAsia="黑体"/>
      <w:b/>
      <w:sz w:val="30"/>
      <w:szCs w:val="20"/>
    </w:rPr>
  </w:style>
  <w:style w:type="paragraph" w:styleId="1071">
    <w:name w:val="标题 3"/>
    <w:basedOn w:val="1068"/>
    <w:next w:val="1084"/>
    <w:link w:val="1086"/>
    <w:qFormat/>
    <w:pPr>
      <w:jc w:val="left"/>
      <w:keepLines/>
      <w:keepNext/>
      <w:spacing w:before="360" w:after="120"/>
      <w:outlineLvl w:val="2"/>
    </w:pPr>
    <w:rPr>
      <w:rFonts w:ascii="宋体"/>
      <w:b/>
      <w:sz w:val="24"/>
      <w:szCs w:val="20"/>
      <w:u w:val="single"/>
    </w:rPr>
  </w:style>
  <w:style w:type="paragraph" w:styleId="1072">
    <w:name w:val="标题 4"/>
    <w:basedOn w:val="1068"/>
    <w:next w:val="1068"/>
    <w:link w:val="1087"/>
    <w:qFormat/>
    <w:pPr>
      <w:keepLines/>
      <w:keepNext/>
      <w:spacing w:before="280" w:after="290" w:line="376" w:lineRule="atLeast"/>
      <w:outlineLvl w:val="3"/>
    </w:pPr>
    <w:rPr>
      <w:rFonts w:ascii="Arial" w:hAnsi="Arial" w:eastAsia="黑体"/>
      <w:b/>
      <w:sz w:val="28"/>
      <w:szCs w:val="20"/>
    </w:rPr>
  </w:style>
  <w:style w:type="paragraph" w:styleId="1073">
    <w:name w:val="标题 5"/>
    <w:basedOn w:val="1068"/>
    <w:next w:val="1068"/>
    <w:link w:val="1088"/>
    <w:qFormat/>
    <w:pPr>
      <w:keepLines/>
      <w:keepNext/>
      <w:spacing w:before="280" w:after="290" w:line="376" w:lineRule="atLeast"/>
      <w:outlineLvl w:val="4"/>
    </w:pPr>
    <w:rPr>
      <w:b/>
      <w:sz w:val="28"/>
      <w:szCs w:val="20"/>
    </w:rPr>
  </w:style>
  <w:style w:type="paragraph" w:styleId="1074">
    <w:name w:val="标题 6"/>
    <w:basedOn w:val="1068"/>
    <w:next w:val="1068"/>
    <w:link w:val="1089"/>
    <w:qFormat/>
    <w:pPr>
      <w:keepLines/>
      <w:keepNext/>
      <w:spacing w:before="240" w:after="64" w:line="320" w:lineRule="atLeast"/>
      <w:outlineLvl w:val="5"/>
    </w:pPr>
    <w:rPr>
      <w:rFonts w:ascii="Arial" w:hAnsi="Arial" w:eastAsia="黑体"/>
      <w:b/>
      <w:sz w:val="24"/>
      <w:szCs w:val="20"/>
    </w:rPr>
  </w:style>
  <w:style w:type="paragraph" w:styleId="1075">
    <w:name w:val="标题 7"/>
    <w:basedOn w:val="1068"/>
    <w:next w:val="1068"/>
    <w:link w:val="1090"/>
    <w:qFormat/>
    <w:pPr>
      <w:keepLines/>
      <w:keepNext/>
      <w:spacing w:before="240" w:after="64" w:line="320" w:lineRule="atLeast"/>
      <w:outlineLvl w:val="6"/>
    </w:pPr>
    <w:rPr>
      <w:b/>
      <w:sz w:val="24"/>
      <w:szCs w:val="20"/>
    </w:rPr>
  </w:style>
  <w:style w:type="paragraph" w:styleId="1076">
    <w:name w:val="标题 8"/>
    <w:basedOn w:val="1068"/>
    <w:next w:val="1068"/>
    <w:link w:val="1091"/>
    <w:qFormat/>
    <w:pPr>
      <w:keepLines/>
      <w:keepNext/>
      <w:spacing w:before="240" w:after="64" w:line="320" w:lineRule="atLeast"/>
      <w:outlineLvl w:val="7"/>
    </w:pPr>
    <w:rPr>
      <w:rFonts w:ascii="Arial" w:hAnsi="Arial" w:eastAsia="黑体"/>
      <w:sz w:val="24"/>
      <w:szCs w:val="20"/>
    </w:rPr>
  </w:style>
  <w:style w:type="paragraph" w:styleId="1077">
    <w:name w:val="标题 9"/>
    <w:basedOn w:val="1068"/>
    <w:next w:val="1068"/>
    <w:link w:val="1092"/>
    <w:qFormat/>
    <w:pPr>
      <w:keepLines/>
      <w:keepNext/>
      <w:spacing w:before="240" w:after="64" w:line="320" w:lineRule="atLeast"/>
      <w:outlineLvl w:val="8"/>
    </w:pPr>
    <w:rPr>
      <w:rFonts w:ascii="Arial" w:hAnsi="Arial" w:eastAsia="黑体"/>
      <w:szCs w:val="20"/>
    </w:rPr>
  </w:style>
  <w:style w:type="character" w:styleId="1078">
    <w:name w:val="默认段落字体"/>
    <w:next w:val="1078"/>
    <w:link w:val="1068"/>
    <w:uiPriority w:val="1"/>
    <w:unhideWhenUsed/>
    <w:qFormat/>
  </w:style>
  <w:style w:type="table" w:styleId="1079">
    <w:name w:val="普通表格"/>
    <w:next w:val="1079"/>
    <w:link w:val="1068"/>
    <w:uiPriority w:val="99"/>
    <w:unhideWhenUsed/>
    <w:qFormat/>
    <w:tblPr/>
  </w:style>
  <w:style w:type="paragraph" w:styleId="1080">
    <w:name w:val="正文文本"/>
    <w:basedOn w:val="1068"/>
    <w:next w:val="1068"/>
    <w:link w:val="1081"/>
    <w:qFormat/>
    <w:pPr>
      <w:spacing w:before="120" w:line="22" w:lineRule="atLeast"/>
      <w:tabs>
        <w:tab w:val="left" w:pos="567" w:leader="none"/>
      </w:tabs>
    </w:pPr>
    <w:rPr>
      <w:rFonts w:ascii="宋体" w:hAnsi="宋体"/>
      <w:sz w:val="24"/>
    </w:rPr>
  </w:style>
  <w:style w:type="character" w:styleId="1081">
    <w:name w:val="正文文本 字符1"/>
    <w:next w:val="1081"/>
    <w:link w:val="1080"/>
    <w:qFormat/>
    <w:rPr>
      <w:rFonts w:ascii="宋体" w:hAnsi="宋体"/>
      <w:sz w:val="24"/>
      <w:szCs w:val="24"/>
    </w:rPr>
  </w:style>
  <w:style w:type="character" w:styleId="1082">
    <w:name w:val="标题 1 字符"/>
    <w:next w:val="1082"/>
    <w:link w:val="1069"/>
    <w:qFormat/>
    <w:rPr>
      <w:rFonts w:ascii="宋体"/>
      <w:b/>
      <w:sz w:val="32"/>
    </w:rPr>
  </w:style>
  <w:style w:type="character" w:styleId="1083">
    <w:name w:val="标题 2 字符"/>
    <w:next w:val="1083"/>
    <w:link w:val="1070"/>
    <w:qFormat/>
    <w:rPr>
      <w:rFonts w:ascii="Arial" w:hAnsi="Arial" w:eastAsia="黑体"/>
      <w:b/>
      <w:sz w:val="30"/>
      <w:lang w:val="en-US" w:eastAsia="zh-CN" w:bidi="ar-SA"/>
    </w:rPr>
  </w:style>
  <w:style w:type="paragraph" w:styleId="1084">
    <w:name w:val="正文缩进"/>
    <w:basedOn w:val="1068"/>
    <w:next w:val="1068"/>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1"/>
    <w:qFormat/>
    <w:rPr>
      <w:rFonts w:ascii="宋体" w:eastAsia="宋体"/>
      <w:b/>
      <w:sz w:val="24"/>
      <w:u w:val="single"/>
      <w:lang w:val="en-US" w:eastAsia="zh-CN" w:bidi="ar-SA"/>
    </w:rPr>
  </w:style>
  <w:style w:type="character" w:styleId="1087">
    <w:name w:val="标题 4 字符"/>
    <w:next w:val="1087"/>
    <w:link w:val="1072"/>
    <w:qFormat/>
    <w:rPr>
      <w:rFonts w:ascii="Arial" w:hAnsi="Arial" w:eastAsia="黑体"/>
      <w:b/>
      <w:sz w:val="28"/>
    </w:rPr>
  </w:style>
  <w:style w:type="character" w:styleId="1088">
    <w:name w:val="标题 5 字符"/>
    <w:next w:val="1088"/>
    <w:link w:val="1073"/>
    <w:qFormat/>
    <w:rPr>
      <w:b/>
      <w:sz w:val="28"/>
    </w:rPr>
  </w:style>
  <w:style w:type="character" w:styleId="1089">
    <w:name w:val="标题 6 字符"/>
    <w:next w:val="1089"/>
    <w:link w:val="1074"/>
    <w:qFormat/>
    <w:rPr>
      <w:rFonts w:ascii="Arial" w:hAnsi="Arial" w:eastAsia="黑体"/>
      <w:b/>
      <w:sz w:val="24"/>
    </w:rPr>
  </w:style>
  <w:style w:type="character" w:styleId="1090">
    <w:name w:val="标题 7 字符"/>
    <w:next w:val="1090"/>
    <w:link w:val="1075"/>
    <w:qFormat/>
    <w:rPr>
      <w:b/>
      <w:sz w:val="24"/>
    </w:rPr>
  </w:style>
  <w:style w:type="character" w:styleId="1091">
    <w:name w:val="标题 8 字符"/>
    <w:next w:val="1091"/>
    <w:link w:val="1076"/>
    <w:qFormat/>
    <w:rPr>
      <w:rFonts w:ascii="Arial" w:hAnsi="Arial" w:eastAsia="黑体"/>
      <w:sz w:val="24"/>
    </w:rPr>
  </w:style>
  <w:style w:type="character" w:styleId="1092">
    <w:name w:val="标题 9 字符"/>
    <w:next w:val="1092"/>
    <w:link w:val="1077"/>
    <w:qFormat/>
    <w:rPr>
      <w:rFonts w:ascii="Arial" w:hAnsi="Arial" w:eastAsia="黑体"/>
      <w:sz w:val="21"/>
    </w:rPr>
  </w:style>
  <w:style w:type="paragraph" w:styleId="1093">
    <w:name w:val="目录 7"/>
    <w:basedOn w:val="1068"/>
    <w:next w:val="1068"/>
    <w:link w:val="1068"/>
    <w:qFormat/>
    <w:pPr>
      <w:ind w:left="2520"/>
    </w:pPr>
  </w:style>
  <w:style w:type="paragraph" w:styleId="1094">
    <w:name w:val="题注"/>
    <w:basedOn w:val="1068"/>
    <w:next w:val="1068"/>
    <w:link w:val="1068"/>
    <w:qFormat/>
    <w:pPr>
      <w:spacing w:line="480" w:lineRule="auto"/>
    </w:pPr>
    <w:rPr>
      <w:rFonts w:ascii="华文中宋" w:hAnsi="华文中宋" w:eastAsia="华文中宋"/>
      <w:sz w:val="36"/>
      <w:szCs w:val="20"/>
    </w:rPr>
  </w:style>
  <w:style w:type="paragraph" w:styleId="1095">
    <w:name w:val="文档结构图"/>
    <w:basedOn w:val="1068"/>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68"/>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68"/>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缩进"/>
    <w:basedOn w:val="1068"/>
    <w:next w:val="1101"/>
    <w:link w:val="1102"/>
    <w:qFormat/>
    <w:pPr>
      <w:ind w:firstLine="570"/>
      <w:spacing w:line="360" w:lineRule="auto"/>
    </w:pPr>
    <w:rPr>
      <w:sz w:val="24"/>
    </w:rPr>
  </w:style>
  <w:style w:type="character" w:styleId="1102">
    <w:name w:val="正文文本缩进 字符"/>
    <w:next w:val="1102"/>
    <w:link w:val="1101"/>
    <w:qFormat/>
    <w:rPr>
      <w:rFonts w:eastAsia="宋体"/>
      <w:sz w:val="24"/>
      <w:szCs w:val="24"/>
      <w:lang w:val="en-US" w:eastAsia="zh-CN" w:bidi="ar-SA"/>
    </w:rPr>
  </w:style>
  <w:style w:type="paragraph" w:styleId="1103">
    <w:name w:val="列表 2"/>
    <w:basedOn w:val="1068"/>
    <w:next w:val="1103"/>
    <w:link w:val="1068"/>
    <w:qFormat/>
    <w:pPr>
      <w:ind w:left="100" w:hanging="200"/>
    </w:pPr>
  </w:style>
  <w:style w:type="paragraph" w:styleId="1104">
    <w:name w:val="文本块"/>
    <w:basedOn w:val="1068"/>
    <w:next w:val="1104"/>
    <w:link w:val="1068"/>
    <w:qFormat/>
    <w:pPr>
      <w:ind w:left="480" w:right="-341" w:firstLine="513"/>
      <w:widowControl/>
    </w:pPr>
    <w:rPr>
      <w:sz w:val="24"/>
      <w:szCs w:val="20"/>
    </w:rPr>
  </w:style>
  <w:style w:type="paragraph" w:styleId="1105">
    <w:name w:val="目录 5"/>
    <w:basedOn w:val="1068"/>
    <w:next w:val="1068"/>
    <w:link w:val="1068"/>
    <w:qFormat/>
    <w:pPr>
      <w:ind w:left="1680"/>
    </w:pPr>
  </w:style>
  <w:style w:type="paragraph" w:styleId="1106">
    <w:name w:val="目录 3"/>
    <w:basedOn w:val="1068"/>
    <w:next w:val="1068"/>
    <w:link w:val="1068"/>
    <w:uiPriority w:val="39"/>
    <w:qFormat/>
    <w:pPr>
      <w:ind w:left="840"/>
    </w:pPr>
  </w:style>
  <w:style w:type="paragraph" w:styleId="1107">
    <w:name w:val="纯文本"/>
    <w:basedOn w:val="1068"/>
    <w:next w:val="1084"/>
    <w:link w:val="1108"/>
    <w:uiPriority w:val="99"/>
    <w:qFormat/>
    <w:rPr>
      <w:rFonts w:hint="eastAsia" w:ascii="宋体" w:hAnsi="Courier New"/>
      <w:szCs w:val="20"/>
    </w:rPr>
  </w:style>
  <w:style w:type="character" w:styleId="1108">
    <w:name w:val="纯文本 字符2"/>
    <w:next w:val="1108"/>
    <w:link w:val="1107"/>
    <w:qFormat/>
    <w:rPr>
      <w:rFonts w:hint="eastAsia" w:ascii="宋体" w:hAnsi="Courier New" w:eastAsia="宋体" w:cs="宋体"/>
      <w:sz w:val="21"/>
    </w:rPr>
  </w:style>
  <w:style w:type="paragraph" w:styleId="1109">
    <w:name w:val="目录 8"/>
    <w:basedOn w:val="1068"/>
    <w:next w:val="1068"/>
    <w:link w:val="1068"/>
    <w:qFormat/>
    <w:pPr>
      <w:ind w:left="2940"/>
    </w:pPr>
  </w:style>
  <w:style w:type="paragraph" w:styleId="1110">
    <w:name w:val="日期"/>
    <w:basedOn w:val="1068"/>
    <w:next w:val="1068"/>
    <w:link w:val="1111"/>
    <w:qFormat/>
    <w:pPr>
      <w:ind w:left="100"/>
    </w:pPr>
    <w:rPr>
      <w:rFonts w:ascii="仿宋_GB2312" w:hAnsi="宋体" w:eastAsia="仿宋_GB2312"/>
      <w:color w:val="000000"/>
      <w:sz w:val="24"/>
    </w:rPr>
  </w:style>
  <w:style w:type="character" w:styleId="1111">
    <w:name w:val="日期 字符"/>
    <w:next w:val="1111"/>
    <w:link w:val="1110"/>
    <w:qFormat/>
    <w:rPr>
      <w:rFonts w:ascii="仿宋_GB2312" w:hAnsi="宋体" w:eastAsia="仿宋_GB2312"/>
      <w:color w:val="000000"/>
      <w:sz w:val="24"/>
      <w:szCs w:val="24"/>
    </w:rPr>
  </w:style>
  <w:style w:type="paragraph" w:styleId="1112">
    <w:name w:val="正文文本缩进 2"/>
    <w:basedOn w:val="1068"/>
    <w:next w:val="1112"/>
    <w:link w:val="1113"/>
    <w:qFormat/>
    <w:pPr>
      <w:ind w:firstLine="480"/>
    </w:pPr>
    <w:rPr>
      <w:rFonts w:ascii="仿宋_GB2312" w:eastAsia="仿宋_GB2312"/>
      <w:sz w:val="24"/>
    </w:rPr>
  </w:style>
  <w:style w:type="character" w:styleId="1113">
    <w:name w:val="正文文本缩进 2 字符"/>
    <w:next w:val="1113"/>
    <w:link w:val="1112"/>
    <w:qFormat/>
    <w:rPr>
      <w:rFonts w:ascii="仿宋_GB2312" w:eastAsia="仿宋_GB2312"/>
      <w:sz w:val="24"/>
      <w:szCs w:val="24"/>
    </w:rPr>
  </w:style>
  <w:style w:type="paragraph" w:styleId="1114">
    <w:name w:val="批注框文本"/>
    <w:basedOn w:val="1068"/>
    <w:next w:val="1114"/>
    <w:link w:val="1115"/>
    <w:qFormat/>
    <w:rPr>
      <w:sz w:val="18"/>
      <w:szCs w:val="18"/>
    </w:rPr>
  </w:style>
  <w:style w:type="character" w:styleId="1115">
    <w:name w:val="批注框文本 字符"/>
    <w:next w:val="1115"/>
    <w:link w:val="1114"/>
    <w:qFormat/>
    <w:rPr>
      <w:sz w:val="18"/>
      <w:szCs w:val="18"/>
    </w:rPr>
  </w:style>
  <w:style w:type="paragraph" w:styleId="1116">
    <w:name w:val="页脚"/>
    <w:basedOn w:val="1068"/>
    <w:next w:val="1116"/>
    <w:link w:val="1117"/>
    <w:uiPriority w:val="99"/>
    <w:qFormat/>
    <w:pPr>
      <w:jc w:val="left"/>
      <w:tabs>
        <w:tab w:val="center" w:pos="4153" w:leader="none"/>
        <w:tab w:val="right" w:pos="8306" w:leader="none"/>
      </w:tabs>
    </w:pPr>
    <w:rPr>
      <w:rFonts w:ascii="宋体"/>
      <w:sz w:val="18"/>
      <w:szCs w:val="20"/>
    </w:rPr>
  </w:style>
  <w:style w:type="character" w:styleId="1117">
    <w:name w:val="页脚 字符"/>
    <w:next w:val="1117"/>
    <w:link w:val="1116"/>
    <w:uiPriority w:val="99"/>
    <w:qFormat/>
    <w:rPr>
      <w:rFonts w:ascii="宋体" w:eastAsia="宋体"/>
      <w:sz w:val="18"/>
      <w:lang w:val="en-US" w:eastAsia="zh-CN" w:bidi="ar-SA"/>
    </w:rPr>
  </w:style>
  <w:style w:type="paragraph" w:styleId="1118">
    <w:name w:val="页眉"/>
    <w:basedOn w:val="1068"/>
    <w:next w:val="1118"/>
    <w:link w:val="1119"/>
    <w:qFormat/>
    <w:pPr>
      <w:jc w:val="center"/>
      <w:tabs>
        <w:tab w:val="center" w:pos="4153" w:leader="none"/>
        <w:tab w:val="right" w:pos="8306" w:leader="none"/>
      </w:tabs>
      <w:pBdr>
        <w:bottom w:val="single" w:color="000000" w:sz="6" w:space="1"/>
      </w:pBdr>
    </w:pPr>
    <w:rPr>
      <w:sz w:val="18"/>
      <w:szCs w:val="18"/>
    </w:rPr>
  </w:style>
  <w:style w:type="character" w:styleId="1119">
    <w:name w:val="页眉 字符"/>
    <w:next w:val="1119"/>
    <w:link w:val="1118"/>
    <w:qFormat/>
    <w:rPr>
      <w:rFonts w:eastAsia="宋体"/>
      <w:sz w:val="18"/>
      <w:szCs w:val="18"/>
      <w:lang w:val="en-US" w:eastAsia="zh-CN" w:bidi="ar-SA"/>
    </w:rPr>
  </w:style>
  <w:style w:type="paragraph" w:styleId="1120">
    <w:name w:val="目录 1"/>
    <w:basedOn w:val="1068"/>
    <w:next w:val="1068"/>
    <w:link w:val="1068"/>
    <w:uiPriority w:val="39"/>
    <w:qFormat/>
    <w:pPr>
      <w:spacing w:line="300" w:lineRule="auto"/>
      <w:tabs>
        <w:tab w:val="left" w:pos="1050" w:leader="none"/>
        <w:tab w:val="right" w:pos="8937" w:leader="dot"/>
      </w:tabs>
    </w:pPr>
    <w:rPr>
      <w:rFonts w:ascii="宋体" w:hAnsi="宋体"/>
      <w:b/>
      <w:sz w:val="24"/>
    </w:rPr>
  </w:style>
  <w:style w:type="paragraph" w:styleId="1121">
    <w:name w:val="目录 4"/>
    <w:basedOn w:val="1068"/>
    <w:next w:val="1068"/>
    <w:link w:val="1068"/>
    <w:qFormat/>
    <w:pPr>
      <w:ind w:left="1260"/>
    </w:pPr>
  </w:style>
  <w:style w:type="paragraph" w:styleId="1122">
    <w:name w:val="目录 6"/>
    <w:basedOn w:val="1068"/>
    <w:next w:val="1068"/>
    <w:link w:val="1068"/>
    <w:qFormat/>
    <w:pPr>
      <w:ind w:left="2100"/>
    </w:pPr>
  </w:style>
  <w:style w:type="paragraph" w:styleId="1123">
    <w:name w:val="正文文本缩进 3"/>
    <w:basedOn w:val="1068"/>
    <w:next w:val="1123"/>
    <w:link w:val="1124"/>
    <w:qFormat/>
    <w:pPr>
      <w:ind w:left="720" w:firstLine="480"/>
      <w:jc w:val="left"/>
      <w:spacing w:before="120" w:line="22" w:lineRule="atLeast"/>
    </w:pPr>
    <w:rPr>
      <w:rFonts w:ascii="宋体"/>
      <w:sz w:val="24"/>
      <w:szCs w:val="20"/>
    </w:rPr>
  </w:style>
  <w:style w:type="character" w:styleId="1124">
    <w:name w:val="正文文本缩进 3 字符"/>
    <w:next w:val="1124"/>
    <w:link w:val="1123"/>
    <w:qFormat/>
    <w:rPr>
      <w:rFonts w:ascii="宋体"/>
      <w:sz w:val="24"/>
    </w:rPr>
  </w:style>
  <w:style w:type="paragraph" w:styleId="1125">
    <w:name w:val="目录 2"/>
    <w:basedOn w:val="1068"/>
    <w:next w:val="1068"/>
    <w:link w:val="1068"/>
    <w:uiPriority w:val="39"/>
    <w:qFormat/>
    <w:pPr>
      <w:ind w:left="420"/>
      <w:spacing w:line="312" w:lineRule="auto"/>
      <w:tabs>
        <w:tab w:val="right" w:pos="8937" w:leader="dot"/>
      </w:tabs>
    </w:pPr>
  </w:style>
  <w:style w:type="paragraph" w:styleId="1126">
    <w:name w:val="目录 9"/>
    <w:basedOn w:val="1068"/>
    <w:next w:val="1068"/>
    <w:link w:val="1068"/>
    <w:qFormat/>
    <w:pPr>
      <w:ind w:left="3360"/>
    </w:pPr>
  </w:style>
  <w:style w:type="paragraph" w:styleId="1127">
    <w:name w:val="HTML 预设格式"/>
    <w:basedOn w:val="1068"/>
    <w:next w:val="1127"/>
    <w:link w:val="11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8">
    <w:name w:val="HTML 预设格式 字符"/>
    <w:next w:val="1128"/>
    <w:link w:val="1127"/>
    <w:qFormat/>
    <w:rPr>
      <w:rFonts w:ascii="宋体" w:hAnsi="宋体" w:cs="宋体"/>
      <w:sz w:val="24"/>
      <w:szCs w:val="24"/>
    </w:rPr>
  </w:style>
  <w:style w:type="paragraph" w:styleId="1129">
    <w:name w:val="普通(网站)"/>
    <w:basedOn w:val="1068"/>
    <w:next w:val="1129"/>
    <w:link w:val="1068"/>
    <w:uiPriority w:val="99"/>
    <w:unhideWhenUsed/>
    <w:qFormat/>
    <w:pPr>
      <w:jc w:val="left"/>
      <w:spacing w:before="100" w:beforeAutospacing="1" w:after="100" w:afterAutospacing="1"/>
      <w:widowControl/>
    </w:pPr>
    <w:rPr>
      <w:rFonts w:ascii="宋体" w:hAnsi="宋体" w:cs="宋体"/>
      <w:sz w:val="24"/>
    </w:rPr>
  </w:style>
  <w:style w:type="paragraph" w:styleId="1130">
    <w:name w:val="索引 1"/>
    <w:basedOn w:val="1068"/>
    <w:next w:val="1068"/>
    <w:link w:val="1068"/>
    <w:qFormat/>
    <w:rPr>
      <w:szCs w:val="20"/>
    </w:rPr>
  </w:style>
  <w:style w:type="paragraph" w:styleId="1131">
    <w:name w:val="标题"/>
    <w:basedOn w:val="1068"/>
    <w:next w:val="1131"/>
    <w:link w:val="1132"/>
    <w:qFormat/>
    <w:pPr>
      <w:jc w:val="center"/>
      <w:outlineLvl w:val="0"/>
    </w:pPr>
    <w:rPr>
      <w:b/>
      <w:sz w:val="32"/>
      <w:szCs w:val="20"/>
    </w:rPr>
  </w:style>
  <w:style w:type="character" w:styleId="1132">
    <w:name w:val="标题 字符"/>
    <w:next w:val="1132"/>
    <w:link w:val="1131"/>
    <w:qFormat/>
    <w:rPr>
      <w:b/>
      <w:sz w:val="32"/>
    </w:rPr>
  </w:style>
  <w:style w:type="paragraph" w:styleId="1133">
    <w:name w:val="批注主题"/>
    <w:basedOn w:val="1097"/>
    <w:next w:val="1097"/>
    <w:link w:val="1134"/>
    <w:qFormat/>
    <w:rPr>
      <w:b/>
      <w:bCs/>
    </w:rPr>
  </w:style>
  <w:style w:type="character" w:styleId="1134">
    <w:name w:val="批注主题 字符"/>
    <w:next w:val="1134"/>
    <w:link w:val="1133"/>
    <w:qFormat/>
    <w:rPr>
      <w:rFonts w:ascii="Times New Roman" w:hAnsi="Times New Roman" w:eastAsia="宋体" w:cs="Times New Roman"/>
      <w:b/>
      <w:bCs/>
      <w:sz w:val="21"/>
      <w:szCs w:val="24"/>
      <w:lang w:val="en-US" w:eastAsia="zh-CN" w:bidi="ar-SA"/>
    </w:rPr>
  </w:style>
  <w:style w:type="paragraph" w:styleId="1135">
    <w:name w:val="正文首行缩进 2"/>
    <w:basedOn w:val="1101"/>
    <w:next w:val="1135"/>
    <w:link w:val="1136"/>
    <w:qFormat/>
    <w:pPr>
      <w:ind w:left="420" w:firstLine="420"/>
      <w:spacing w:after="120" w:line="480" w:lineRule="exact"/>
    </w:pPr>
    <w:rPr>
      <w:szCs w:val="20"/>
    </w:rPr>
  </w:style>
  <w:style w:type="character" w:styleId="1136">
    <w:name w:val="正文文本首行缩进 2 字符"/>
    <w:next w:val="1136"/>
    <w:link w:val="1135"/>
    <w:qFormat/>
    <w:rPr>
      <w:rFonts w:eastAsia="宋体"/>
      <w:sz w:val="24"/>
      <w:szCs w:val="24"/>
      <w:lang w:val="en-US" w:eastAsia="zh-CN" w:bidi="ar-SA"/>
    </w:rPr>
  </w:style>
  <w:style w:type="table" w:styleId="1137">
    <w:name w:val="网格型"/>
    <w:basedOn w:val="1079"/>
    <w:next w:val="1137"/>
    <w:link w:val="1068"/>
    <w:uiPriority w:val="39"/>
    <w:qFormat/>
    <w:tblPr/>
  </w:style>
  <w:style w:type="table" w:styleId="1138">
    <w:name w:val="中等深浅网格 1 - 强调文字颜色 2"/>
    <w:basedOn w:val="1079"/>
    <w:next w:val="1138"/>
    <w:link w:val="1068"/>
    <w:qFormat/>
    <w:rPr>
      <w:sz w:val="21"/>
      <w:szCs w:val="24"/>
    </w:rPr>
    <w:tblPr/>
  </w:style>
  <w:style w:type="character" w:styleId="1139">
    <w:name w:val="要点"/>
    <w:next w:val="1139"/>
    <w:link w:val="1068"/>
    <w:qFormat/>
    <w:rPr>
      <w:b/>
      <w:bCs/>
    </w:rPr>
  </w:style>
  <w:style w:type="character" w:styleId="1140">
    <w:name w:val="页码"/>
    <w:next w:val="1140"/>
    <w:link w:val="1068"/>
    <w:qFormat/>
  </w:style>
  <w:style w:type="character" w:styleId="1141">
    <w:name w:val="已访问的超链接"/>
    <w:basedOn w:val="1078"/>
    <w:next w:val="1141"/>
    <w:link w:val="1068"/>
    <w:qFormat/>
    <w:rPr>
      <w:color w:val="333333"/>
      <w:u w:val="none"/>
    </w:rPr>
  </w:style>
  <w:style w:type="character" w:styleId="1142">
    <w:name w:val="强调"/>
    <w:next w:val="1142"/>
    <w:link w:val="1068"/>
    <w:qFormat/>
    <w:rPr>
      <w:color w:val="cc0033"/>
    </w:rPr>
  </w:style>
  <w:style w:type="character" w:styleId="1143">
    <w:name w:val="超链接"/>
    <w:basedOn w:val="1078"/>
    <w:next w:val="1143"/>
    <w:link w:val="1068"/>
    <w:uiPriority w:val="99"/>
    <w:qFormat/>
    <w:rPr>
      <w:color w:val="333333"/>
      <w:u w:val="none"/>
    </w:rPr>
  </w:style>
  <w:style w:type="character" w:styleId="1144">
    <w:name w:val="批注引用"/>
    <w:next w:val="1144"/>
    <w:link w:val="1068"/>
    <w:uiPriority w:val="99"/>
    <w:qFormat/>
    <w:rPr>
      <w:sz w:val="21"/>
      <w:szCs w:val="21"/>
    </w:rPr>
  </w:style>
  <w:style w:type="character" w:styleId="1145">
    <w:name w:val="HTML 引文"/>
    <w:next w:val="1145"/>
    <w:link w:val="1068"/>
    <w:qFormat/>
    <w:rPr>
      <w:i/>
      <w:iCs/>
    </w:rPr>
  </w:style>
  <w:style w:type="character" w:styleId="1146">
    <w:name w:val="批注文字 字符"/>
    <w:next w:val="1146"/>
    <w:link w:val="1068"/>
    <w:uiPriority w:val="99"/>
    <w:qFormat/>
    <w:rPr>
      <w:rFonts w:ascii="Times New Roman" w:hAnsi="Times New Roman" w:eastAsia="宋体" w:cs="Times New Roman"/>
      <w:sz w:val="24"/>
      <w:lang w:val="en-US" w:eastAsia="zh-CN" w:bidi="ar-SA"/>
    </w:rPr>
  </w:style>
  <w:style w:type="character" w:styleId="1147">
    <w:name w:val="c21"/>
    <w:next w:val="1147"/>
    <w:link w:val="1068"/>
    <w:qFormat/>
    <w:rPr>
      <w:rFonts w:ascii="ˎ̥" w:hAnsi="ˎ̥"/>
      <w:color w:val="000000"/>
      <w:sz w:val="20"/>
      <w:szCs w:val="20"/>
      <w:u w:val="none"/>
    </w:rPr>
  </w:style>
  <w:style w:type="character" w:styleId="1148">
    <w:name w:val="title4"/>
    <w:next w:val="1148"/>
    <w:link w:val="1068"/>
    <w:qFormat/>
    <w:rPr>
      <w:b/>
      <w:bCs/>
      <w:color w:val="1d87b3"/>
      <w:sz w:val="15"/>
      <w:szCs w:val="15"/>
    </w:rPr>
  </w:style>
  <w:style w:type="character" w:styleId="1149">
    <w:name w:val="标题 2 Char Char"/>
    <w:next w:val="1149"/>
    <w:link w:val="1068"/>
    <w:qFormat/>
    <w:rPr>
      <w:rFonts w:ascii="Arial" w:hAnsi="Arial" w:eastAsia="黑体"/>
      <w:b/>
      <w:bCs/>
      <w:sz w:val="32"/>
      <w:szCs w:val="32"/>
      <w:lang w:val="en-US" w:eastAsia="zh-CN" w:bidi="ar-SA"/>
    </w:rPr>
  </w:style>
  <w:style w:type="character" w:styleId="1150">
    <w:name w:val="black1"/>
    <w:next w:val="1150"/>
    <w:link w:val="1068"/>
    <w:qFormat/>
    <w:rPr>
      <w:color w:val="000000"/>
    </w:rPr>
  </w:style>
  <w:style w:type="character" w:styleId="1151">
    <w:name w:val="street-address"/>
    <w:next w:val="1151"/>
    <w:link w:val="1068"/>
    <w:qFormat/>
  </w:style>
  <w:style w:type="character" w:styleId="1152">
    <w:name w:val="locality"/>
    <w:next w:val="1152"/>
    <w:link w:val="1068"/>
    <w:qFormat/>
  </w:style>
  <w:style w:type="character" w:styleId="1153">
    <w:name w:val="正文文本缩进 Char1"/>
    <w:next w:val="1153"/>
    <w:link w:val="1154"/>
    <w:qFormat/>
    <w:rPr>
      <w:rFonts w:ascii="宋体" w:hAnsi="宋体" w:eastAsia="宋体"/>
      <w:sz w:val="24"/>
      <w:szCs w:val="24"/>
      <w:lang w:bidi="ar-SA"/>
    </w:rPr>
  </w:style>
  <w:style w:type="paragraph" w:styleId="1154">
    <w:name w:val="正文文本缩进1"/>
    <w:basedOn w:val="1068"/>
    <w:next w:val="1154"/>
    <w:link w:val="1153"/>
    <w:qFormat/>
    <w:pPr>
      <w:ind w:firstLine="480"/>
      <w:spacing w:line="480" w:lineRule="exact"/>
    </w:pPr>
    <w:rPr>
      <w:rFonts w:ascii="宋体" w:hAnsi="宋体"/>
      <w:sz w:val="24"/>
    </w:rPr>
  </w:style>
  <w:style w:type="character" w:styleId="1155">
    <w:name w:val="Char Char11"/>
    <w:next w:val="1155"/>
    <w:link w:val="1068"/>
    <w:qFormat/>
    <w:rPr>
      <w:rFonts w:ascii="宋体" w:eastAsia="宋体"/>
      <w:b/>
      <w:sz w:val="24"/>
      <w:u w:val="single"/>
      <w:lang w:val="en-US" w:eastAsia="zh-CN" w:bidi="ar-SA"/>
    </w:rPr>
  </w:style>
  <w:style w:type="character" w:styleId="1156">
    <w:name w:val="txt"/>
    <w:next w:val="1156"/>
    <w:link w:val="1068"/>
    <w:qFormat/>
  </w:style>
  <w:style w:type="character" w:styleId="1157">
    <w:name w:val="正文缩进 Char Char"/>
    <w:next w:val="1157"/>
    <w:link w:val="1158"/>
    <w:qFormat/>
    <w:rPr>
      <w:rFonts w:ascii="宋体" w:eastAsia="宋体"/>
      <w:color w:val="000000"/>
      <w:sz w:val="28"/>
      <w:lang w:bidi="ar-SA"/>
    </w:rPr>
  </w:style>
  <w:style w:type="paragraph" w:styleId="1158">
    <w:name w:val="正文缩进1"/>
    <w:basedOn w:val="1068"/>
    <w:next w:val="1158"/>
    <w:link w:val="1157"/>
    <w:qFormat/>
    <w:pPr>
      <w:ind w:firstLine="567"/>
      <w:spacing w:line="480" w:lineRule="exact"/>
      <w:widowControl/>
    </w:pPr>
    <w:rPr>
      <w:rFonts w:ascii="宋体"/>
      <w:color w:val="000000"/>
      <w:sz w:val="28"/>
      <w:szCs w:val="20"/>
    </w:rPr>
  </w:style>
  <w:style w:type="character" w:styleId="1159">
    <w:name w:val="普通文字1 Char1"/>
    <w:next w:val="1159"/>
    <w:link w:val="1068"/>
    <w:qFormat/>
    <w:rPr>
      <w:rFonts w:ascii="宋体" w:hAnsi="Courier New" w:eastAsia="宋体"/>
      <w:sz w:val="21"/>
      <w:lang w:val="en-US" w:eastAsia="zh-CN" w:bidi="ar-SA"/>
    </w:rPr>
  </w:style>
  <w:style w:type="character" w:styleId="1160">
    <w:name w:val="chanpin1"/>
    <w:next w:val="1160"/>
    <w:link w:val="1068"/>
    <w:qFormat/>
    <w:rPr>
      <w:rFonts w:ascii="ˎ̥" w:hAnsi="ˎ̥"/>
      <w:color w:val="000000"/>
      <w:sz w:val="20"/>
      <w:szCs w:val="20"/>
      <w:u w:val="none"/>
    </w:rPr>
  </w:style>
  <w:style w:type="character" w:styleId="1161">
    <w:name w:val="列表段落 字符"/>
    <w:next w:val="1161"/>
    <w:link w:val="1162"/>
    <w:uiPriority w:val="34"/>
    <w:qFormat/>
    <w:rPr>
      <w:rFonts w:ascii="Calibri" w:hAnsi="Calibri" w:eastAsia="宋体"/>
      <w:sz w:val="21"/>
      <w:szCs w:val="22"/>
      <w:lang w:val="en-US" w:eastAsia="zh-CN" w:bidi="ar-SA"/>
    </w:rPr>
  </w:style>
  <w:style w:type="paragraph" w:styleId="1162">
    <w:name w:val="列表段落"/>
    <w:basedOn w:val="1068"/>
    <w:next w:val="1162"/>
    <w:link w:val="1161"/>
    <w:uiPriority w:val="34"/>
    <w:qFormat/>
    <w:pPr>
      <w:ind w:firstLine="420"/>
    </w:pPr>
    <w:rPr>
      <w:rFonts w:ascii="Calibri" w:hAnsi="Calibri"/>
      <w:szCs w:val="22"/>
    </w:rPr>
  </w:style>
  <w:style w:type="character" w:styleId="1163">
    <w:name w:val="标题 3 Char Char"/>
    <w:next w:val="1163"/>
    <w:link w:val="1068"/>
    <w:qFormat/>
    <w:rPr>
      <w:rFonts w:eastAsia="宋体"/>
      <w:b/>
      <w:bCs/>
      <w:sz w:val="32"/>
      <w:szCs w:val="32"/>
      <w:lang w:val="en-US" w:eastAsia="zh-CN" w:bidi="ar-SA"/>
    </w:rPr>
  </w:style>
  <w:style w:type="character" w:styleId="1164">
    <w:name w:val="段1 Char"/>
    <w:next w:val="1164"/>
    <w:link w:val="1068"/>
    <w:qFormat/>
    <w:rPr>
      <w:rFonts w:ascii="宋体" w:eastAsia="宋体"/>
      <w:sz w:val="24"/>
      <w:lang w:val="en-US" w:eastAsia="zh-CN" w:bidi="ar-SA"/>
    </w:rPr>
  </w:style>
  <w:style w:type="character" w:styleId="1165">
    <w:name w:val="chanpin拷贝"/>
    <w:next w:val="1165"/>
    <w:link w:val="1068"/>
    <w:qFormat/>
  </w:style>
  <w:style w:type="character" w:styleId="1166">
    <w:name w:val="纯文本 Char1"/>
    <w:next w:val="1166"/>
    <w:link w:val="1068"/>
    <w:uiPriority w:val="99"/>
    <w:qFormat/>
    <w:rPr>
      <w:rFonts w:ascii="宋体" w:hAnsi="Courier New" w:eastAsia="宋体"/>
      <w:sz w:val="21"/>
      <w:lang w:val="en-US" w:eastAsia="zh-CN" w:bidi="ar-SA"/>
    </w:rPr>
  </w:style>
  <w:style w:type="character" w:styleId="1167">
    <w:name w:val="apple-style-span"/>
    <w:next w:val="1167"/>
    <w:link w:val="1068"/>
    <w:qFormat/>
    <w:rPr>
      <w:rFonts w:cs="Times New Roman"/>
    </w:rPr>
  </w:style>
  <w:style w:type="paragraph" w:styleId="1168">
    <w:name w:val="二级条标题"/>
    <w:basedOn w:val="1169"/>
    <w:next w:val="1068"/>
    <w:link w:val="1068"/>
    <w:qFormat/>
    <w:pPr>
      <w:numPr>
        <w:ilvl w:val="0"/>
        <w:numId w:val="0"/>
      </w:numPr>
      <w:ind w:hanging="840"/>
      <w:tabs>
        <w:tab w:val="left" w:pos="360" w:leader="none"/>
        <w:tab w:val="left" w:pos="840" w:leader="none"/>
      </w:tabs>
      <w:outlineLvl w:val="2"/>
    </w:pPr>
    <w:rPr>
      <w:rFonts w:ascii="宋体" w:eastAsia="宋体"/>
      <w:b w:val="0"/>
    </w:rPr>
  </w:style>
  <w:style w:type="paragraph" w:styleId="1169">
    <w:name w:val="一级条标题"/>
    <w:basedOn w:val="1170"/>
    <w:next w:val="1068"/>
    <w:link w:val="1068"/>
    <w:qFormat/>
    <w:pPr>
      <w:numPr>
        <w:ilvl w:val="1"/>
      </w:numPr>
      <w:ind w:left="0" w:hanging="840"/>
      <w:tabs>
        <w:tab w:val="left" w:pos="360" w:leader="none"/>
        <w:tab w:val="left" w:pos="840" w:leader="none"/>
      </w:tabs>
      <w:outlineLvl w:val="1"/>
    </w:pPr>
  </w:style>
  <w:style w:type="paragraph" w:styleId="1170">
    <w:name w:val="章标题"/>
    <w:next w:val="1068"/>
    <w:link w:val="106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1">
    <w:name w:val="font7"/>
    <w:basedOn w:val="1068"/>
    <w:next w:val="1171"/>
    <w:link w:val="1068"/>
    <w:qFormat/>
    <w:pPr>
      <w:jc w:val="left"/>
      <w:spacing w:before="100" w:beforeAutospacing="1" w:after="100" w:afterAutospacing="1"/>
      <w:widowControl/>
    </w:pPr>
    <w:rPr>
      <w:rFonts w:eastAsia="Arial Unicode MS"/>
      <w:b/>
      <w:bCs/>
      <w:color w:val="000000"/>
      <w:sz w:val="20"/>
      <w:szCs w:val="20"/>
    </w:rPr>
  </w:style>
  <w:style w:type="paragraph" w:styleId="1172">
    <w:name w:val="字元 字元"/>
    <w:basedOn w:val="1068"/>
    <w:next w:val="1172"/>
    <w:link w:val="1068"/>
    <w:qFormat/>
    <w:rPr>
      <w:rFonts w:ascii="Tahoma" w:hAnsi="Tahoma"/>
      <w:sz w:val="24"/>
      <w:szCs w:val="20"/>
    </w:rPr>
  </w:style>
  <w:style w:type="paragraph" w:styleId="1173">
    <w:name w:val="Char3 Char Char Char"/>
    <w:basedOn w:val="1068"/>
    <w:next w:val="1173"/>
    <w:link w:val="1068"/>
    <w:qFormat/>
    <w:rPr>
      <w:rFonts w:ascii="Tahoma" w:hAnsi="Tahoma"/>
      <w:sz w:val="24"/>
      <w:szCs w:val="20"/>
    </w:rPr>
  </w:style>
  <w:style w:type="paragraph" w:styleId="1174">
    <w:name w:val="font6"/>
    <w:basedOn w:val="1068"/>
    <w:next w:val="1174"/>
    <w:link w:val="1068"/>
    <w:qFormat/>
    <w:pPr>
      <w:jc w:val="left"/>
      <w:spacing w:before="100" w:beforeAutospacing="1" w:after="100" w:afterAutospacing="1"/>
      <w:widowControl/>
    </w:pPr>
    <w:rPr>
      <w:rFonts w:ascii="宋体" w:hAnsi="宋体" w:cs="宋体"/>
      <w:sz w:val="20"/>
      <w:szCs w:val="20"/>
    </w:rPr>
  </w:style>
  <w:style w:type="paragraph" w:styleId="1175">
    <w:name w:val="项目编号2"/>
    <w:basedOn w:val="1176"/>
    <w:next w:val="1175"/>
    <w:link w:val="1068"/>
    <w:qFormat/>
    <w:pPr>
      <w:numPr>
        <w:numId w:val="3"/>
      </w:numPr>
    </w:pPr>
  </w:style>
  <w:style w:type="paragraph" w:styleId="1176">
    <w:name w:val="项目编号1"/>
    <w:basedOn w:val="1068"/>
    <w:next w:val="1176"/>
    <w:link w:val="1068"/>
    <w:qFormat/>
    <w:pPr>
      <w:numPr>
        <w:ilvl w:val="0"/>
        <w:numId w:val="2"/>
      </w:numPr>
      <w:spacing w:before="100" w:beforeAutospacing="1" w:after="100" w:afterAutospacing="1" w:line="360" w:lineRule="auto"/>
    </w:pPr>
    <w:rPr>
      <w:sz w:val="24"/>
    </w:rPr>
  </w:style>
  <w:style w:type="paragraph" w:styleId="1177">
    <w:name w:val="图中文字"/>
    <w:basedOn w:val="1068"/>
    <w:next w:val="1177"/>
    <w:link w:val="1068"/>
    <w:qFormat/>
    <w:pPr>
      <w:jc w:val="center"/>
      <w:spacing w:line="0" w:lineRule="atLeast"/>
    </w:pPr>
    <w:rPr>
      <w:sz w:val="24"/>
      <w:szCs w:val="20"/>
    </w:rPr>
  </w:style>
  <w:style w:type="paragraph" w:styleId="1178">
    <w:name w:val="xl46"/>
    <w:basedOn w:val="1068"/>
    <w:next w:val="1178"/>
    <w:link w:val="106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9">
    <w:name w:val="xl25"/>
    <w:basedOn w:val="1068"/>
    <w:next w:val="1179"/>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2"/>
    <w:basedOn w:val="1068"/>
    <w:next w:val="1180"/>
    <w:link w:val="1068"/>
    <w:qFormat/>
    <w:rPr>
      <w:rFonts w:ascii="Tahoma" w:hAnsi="Tahoma"/>
      <w:sz w:val="24"/>
      <w:szCs w:val="20"/>
    </w:rPr>
  </w:style>
  <w:style w:type="paragraph" w:styleId="1181">
    <w:name w:val="xl35"/>
    <w:basedOn w:val="1068"/>
    <w:next w:val="1181"/>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2">
    <w:name w:val="xl40"/>
    <w:basedOn w:val="1068"/>
    <w:next w:val="1182"/>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name w:val="xl52"/>
    <w:basedOn w:val="1068"/>
    <w:next w:val="1183"/>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4">
    <w:name w:val="xl43"/>
    <w:basedOn w:val="1068"/>
    <w:next w:val="1184"/>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5">
    <w:name w:val="background1"/>
    <w:basedOn w:val="1068"/>
    <w:next w:val="1185"/>
    <w:link w:val="1068"/>
    <w:qFormat/>
    <w:pPr>
      <w:jc w:val="left"/>
      <w:spacing w:before="100" w:beforeAutospacing="1" w:after="100" w:afterAutospacing="1"/>
      <w:widowControl/>
    </w:pPr>
    <w:rPr>
      <w:rFonts w:ascii="宋体" w:hAnsi="宋体" w:cs="宋体"/>
      <w:sz w:val="24"/>
    </w:rPr>
  </w:style>
  <w:style w:type="paragraph" w:styleId="1186">
    <w:name w:val="Char Char Char Char Char Char Char"/>
    <w:basedOn w:val="1068"/>
    <w:next w:val="1186"/>
    <w:link w:val="1068"/>
    <w:qFormat/>
    <w:pPr>
      <w:ind w:firstLine="200"/>
      <w:spacing w:line="360" w:lineRule="auto"/>
    </w:pPr>
    <w:rPr>
      <w:rFonts w:eastAsia="仿宋_GB2312"/>
      <w:sz w:val="24"/>
    </w:rPr>
  </w:style>
  <w:style w:type="paragraph" w:styleId="1187">
    <w:name w:val="xl38"/>
    <w:basedOn w:val="1068"/>
    <w:next w:val="1187"/>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8">
    <w:name w:val="xl36"/>
    <w:basedOn w:val="1068"/>
    <w:next w:val="1188"/>
    <w:link w:val="106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name w:val="正文 + 宋体"/>
    <w:basedOn w:val="1068"/>
    <w:next w:val="1189"/>
    <w:link w:val="1068"/>
    <w:qFormat/>
    <w:pPr>
      <w:ind w:left="360" w:hanging="360"/>
      <w:jc w:val="left"/>
      <w:widowControl/>
    </w:pPr>
    <w:rPr>
      <w:rFonts w:ascii="宋体" w:hAnsi="宋体" w:cs="宋体"/>
      <w:b/>
      <w:bCs/>
      <w:color w:val="000000"/>
      <w:sz w:val="18"/>
      <w:szCs w:val="18"/>
    </w:rPr>
  </w:style>
  <w:style w:type="paragraph" w:styleId="1190">
    <w:name w:val="正文列项_数字"/>
    <w:basedOn w:val="1068"/>
    <w:next w:val="1190"/>
    <w:link w:val="1068"/>
    <w:qFormat/>
    <w:pPr>
      <w:numPr>
        <w:ilvl w:val="7"/>
        <w:numId w:val="1"/>
      </w:numPr>
      <w:ind w:left="680" w:hanging="150"/>
      <w:spacing w:line="460" w:lineRule="exact"/>
      <w:tabs>
        <w:tab w:val="clear" w:pos="860" w:leader="none"/>
      </w:tabs>
      <w:outlineLvl w:val="7"/>
    </w:pPr>
    <w:rPr>
      <w:rFonts w:ascii="宋体"/>
      <w:sz w:val="28"/>
      <w:szCs w:val="20"/>
    </w:rPr>
  </w:style>
  <w:style w:type="paragraph" w:styleId="1191">
    <w:name w:val="xl39"/>
    <w:basedOn w:val="1068"/>
    <w:next w:val="1191"/>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xl37"/>
    <w:basedOn w:val="1068"/>
    <w:next w:val="1192"/>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xl32"/>
    <w:basedOn w:val="1068"/>
    <w:next w:val="1193"/>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font8"/>
    <w:basedOn w:val="1068"/>
    <w:next w:val="1194"/>
    <w:link w:val="1068"/>
    <w:qFormat/>
    <w:pPr>
      <w:jc w:val="left"/>
      <w:spacing w:before="100" w:beforeAutospacing="1" w:after="100" w:afterAutospacing="1"/>
      <w:widowControl/>
    </w:pPr>
    <w:rPr>
      <w:sz w:val="36"/>
      <w:szCs w:val="36"/>
    </w:rPr>
  </w:style>
  <w:style w:type="paragraph" w:styleId="1195">
    <w:name w:val="Char"/>
    <w:basedOn w:val="1068"/>
    <w:next w:val="1195"/>
    <w:link w:val="1068"/>
    <w:qFormat/>
    <w:pPr>
      <w:tabs>
        <w:tab w:val="left" w:pos="360" w:leader="none"/>
      </w:tabs>
    </w:pPr>
    <w:rPr>
      <w:sz w:val="24"/>
    </w:rPr>
  </w:style>
  <w:style w:type="paragraph" w:styleId="1196">
    <w:name w:val="Char Char Char Char Char Char Char Char Char Char Char Char Char Char Char Char"/>
    <w:basedOn w:val="1068"/>
    <w:next w:val="1196"/>
    <w:link w:val="1068"/>
    <w:qFormat/>
    <w:pPr>
      <w:jc w:val="center"/>
      <w:spacing w:after="160" w:line="240" w:lineRule="exact"/>
      <w:widowControl/>
    </w:pPr>
    <w:rPr>
      <w:rFonts w:ascii="宋体" w:hAnsi="宋体"/>
      <w:b/>
      <w:sz w:val="30"/>
      <w:szCs w:val="30"/>
      <w:lang w:eastAsia="en-US"/>
    </w:rPr>
  </w:style>
  <w:style w:type="paragraph" w:styleId="1197">
    <w:name w:val="xl45"/>
    <w:basedOn w:val="1068"/>
    <w:next w:val="1197"/>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8">
    <w:name w:val="Char Char1 Char Char Char Char Char Char"/>
    <w:basedOn w:val="1068"/>
    <w:next w:val="1198"/>
    <w:link w:val="1068"/>
    <w:qFormat/>
    <w:pPr>
      <w:jc w:val="left"/>
      <w:spacing w:after="160" w:line="240" w:lineRule="exact"/>
      <w:widowControl/>
    </w:pPr>
    <w:rPr>
      <w:rFonts w:ascii="Verdana" w:hAnsi="Verdana" w:eastAsia="仿宋_GB2312"/>
      <w:sz w:val="24"/>
      <w:szCs w:val="20"/>
      <w:lang w:eastAsia="en-US"/>
    </w:rPr>
  </w:style>
  <w:style w:type="paragraph" w:styleId="1199">
    <w:name w:val="Char Char1"/>
    <w:basedOn w:val="1095"/>
    <w:next w:val="1199"/>
    <w:link w:val="1068"/>
    <w:qFormat/>
    <w:rPr>
      <w:rFonts w:ascii="Tahoma" w:hAnsi="Tahoma"/>
      <w:sz w:val="24"/>
    </w:rPr>
  </w:style>
  <w:style w:type="paragraph" w:styleId="1200">
    <w:name w:val="xl26"/>
    <w:basedOn w:val="1068"/>
    <w:next w:val="1200"/>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1">
    <w:name w:val="xl30"/>
    <w:basedOn w:val="1068"/>
    <w:next w:val="1201"/>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xl41"/>
    <w:basedOn w:val="1068"/>
    <w:next w:val="1202"/>
    <w:link w:val="106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name w:val="样式 宋体 五号 行距: 单倍行距"/>
    <w:basedOn w:val="1068"/>
    <w:next w:val="1203"/>
    <w:link w:val="1068"/>
    <w:qFormat/>
    <w:pPr>
      <w:jc w:val="left"/>
    </w:pPr>
    <w:rPr>
      <w:rFonts w:ascii="宋体" w:hAnsi="宋体"/>
      <w:szCs w:val="20"/>
    </w:rPr>
  </w:style>
  <w:style w:type="paragraph" w:styleId="1204">
    <w:name w:val="Char1 Char Char Char1"/>
    <w:basedOn w:val="1068"/>
    <w:next w:val="1204"/>
    <w:link w:val="1068"/>
    <w:qFormat/>
    <w:rPr>
      <w:rFonts w:ascii="Tahoma" w:hAnsi="Tahoma" w:cs="仿宋_GB2312"/>
      <w:sz w:val="24"/>
      <w:szCs w:val="28"/>
    </w:rPr>
  </w:style>
  <w:style w:type="paragraph" w:styleId="1205">
    <w:name w:val="四级条标题"/>
    <w:basedOn w:val="1206"/>
    <w:next w:val="1068"/>
    <w:link w:val="1068"/>
    <w:qFormat/>
    <w:pPr>
      <w:numPr>
        <w:ilvl w:val="4"/>
      </w:numPr>
      <w:ind w:left="0" w:hanging="840"/>
      <w:tabs>
        <w:tab w:val="left" w:pos="360" w:leader="none"/>
        <w:tab w:val="left" w:pos="840" w:leader="none"/>
      </w:tabs>
      <w:outlineLvl w:val="4"/>
    </w:pPr>
  </w:style>
  <w:style w:type="paragraph" w:styleId="1206">
    <w:name w:val="三级条标题"/>
    <w:basedOn w:val="1168"/>
    <w:next w:val="1068"/>
    <w:link w:val="1068"/>
    <w:qFormat/>
    <w:pPr>
      <w:numPr>
        <w:ilvl w:val="3"/>
        <w:numId w:val="1"/>
      </w:numPr>
      <w:ind w:left="0" w:hanging="840"/>
      <w:tabs>
        <w:tab w:val="left" w:pos="360" w:leader="none"/>
        <w:tab w:val="left" w:pos="840" w:leader="none"/>
      </w:tabs>
      <w:outlineLvl w:val="3"/>
    </w:pPr>
  </w:style>
  <w:style w:type="paragraph" w:styleId="1207">
    <w:name w:val="??"/>
    <w:next w:val="1207"/>
    <w:link w:val="1068"/>
    <w:qFormat/>
    <w:pPr>
      <w:jc w:val="both"/>
      <w:widowControl w:val="off"/>
    </w:pPr>
    <w:rPr>
      <w:sz w:val="21"/>
      <w:lang w:val="en-US" w:eastAsia="en-US" w:bidi="ar-SA"/>
    </w:rPr>
  </w:style>
  <w:style w:type="paragraph" w:styleId="1208">
    <w:name w:val="样式 标题 2 + 宋体 五号 行距: 单倍行距"/>
    <w:basedOn w:val="1070"/>
    <w:next w:val="1208"/>
    <w:link w:val="106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9">
    <w:name w:val="List Paragraph1"/>
    <w:basedOn w:val="1068"/>
    <w:next w:val="1209"/>
    <w:link w:val="1068"/>
    <w:qFormat/>
    <w:pPr>
      <w:ind w:firstLine="420"/>
    </w:pPr>
    <w:rPr>
      <w:rFonts w:ascii="Calibri" w:hAnsi="Calibri"/>
      <w:szCs w:val="22"/>
    </w:rPr>
  </w:style>
  <w:style w:type="paragraph" w:styleId="1210">
    <w:name w:val="项目符号1"/>
    <w:basedOn w:val="1211"/>
    <w:next w:val="1210"/>
    <w:link w:val="1068"/>
    <w:qFormat/>
    <w:pPr>
      <w:ind w:left="-25" w:firstLine="0"/>
    </w:pPr>
  </w:style>
  <w:style w:type="paragraph" w:styleId="1211">
    <w:name w:val="正文文本样式"/>
    <w:basedOn w:val="1068"/>
    <w:next w:val="1211"/>
    <w:link w:val="1068"/>
    <w:qFormat/>
    <w:pPr>
      <w:ind w:firstLine="482"/>
      <w:spacing w:line="360" w:lineRule="auto"/>
    </w:pPr>
    <w:rPr>
      <w:rFonts w:cs="宋体"/>
      <w:sz w:val="24"/>
      <w:szCs w:val="20"/>
    </w:rPr>
  </w:style>
  <w:style w:type="paragraph" w:styleId="1212">
    <w:name w:val="xl27"/>
    <w:basedOn w:val="1068"/>
    <w:next w:val="121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3">
    <w:name w:val="font5"/>
    <w:basedOn w:val="1068"/>
    <w:next w:val="1213"/>
    <w:link w:val="1068"/>
    <w:qFormat/>
    <w:pPr>
      <w:jc w:val="left"/>
      <w:spacing w:before="100" w:beforeAutospacing="1" w:after="100" w:afterAutospacing="1"/>
      <w:widowControl/>
    </w:pPr>
    <w:rPr>
      <w:rFonts w:ascii="宋体" w:hAnsi="宋体" w:cs="宋体"/>
      <w:sz w:val="18"/>
      <w:szCs w:val="18"/>
    </w:rPr>
  </w:style>
  <w:style w:type="paragraph" w:styleId="1214">
    <w:name w:val="五级条标题"/>
    <w:basedOn w:val="1205"/>
    <w:next w:val="1068"/>
    <w:link w:val="1068"/>
    <w:qFormat/>
    <w:pPr>
      <w:numPr>
        <w:ilvl w:val="5"/>
      </w:numPr>
      <w:ind w:left="0" w:hanging="840"/>
      <w:tabs>
        <w:tab w:val="left" w:pos="360" w:leader="none"/>
        <w:tab w:val="left" w:pos="840" w:leader="none"/>
      </w:tabs>
      <w:outlineLvl w:val="5"/>
    </w:pPr>
  </w:style>
  <w:style w:type="paragraph" w:styleId="1215">
    <w:name w:val="xl49"/>
    <w:basedOn w:val="1068"/>
    <w:next w:val="1215"/>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6">
    <w:name w:val="文档正文"/>
    <w:basedOn w:val="1068"/>
    <w:next w:val="1216"/>
    <w:link w:val="1068"/>
    <w:qFormat/>
    <w:pPr>
      <w:spacing w:before="120" w:after="120" w:line="180" w:lineRule="auto"/>
    </w:pPr>
    <w:rPr>
      <w:rFonts w:ascii="Arial" w:hAnsi="Arial"/>
      <w:szCs w:val="20"/>
    </w:rPr>
  </w:style>
  <w:style w:type="paragraph" w:styleId="1217">
    <w:name w:val="xl33"/>
    <w:basedOn w:val="1068"/>
    <w:next w:val="1217"/>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xl42"/>
    <w:basedOn w:val="1068"/>
    <w:next w:val="1218"/>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9">
    <w:name w:val="Char Char Char1 Char"/>
    <w:basedOn w:val="1068"/>
    <w:next w:val="1219"/>
    <w:link w:val="1068"/>
    <w:qFormat/>
    <w:rPr>
      <w:rFonts w:ascii="Tahoma" w:hAnsi="Tahoma"/>
      <w:sz w:val="24"/>
      <w:szCs w:val="20"/>
    </w:rPr>
  </w:style>
  <w:style w:type="paragraph" w:styleId="1220">
    <w:name w:val="xl44"/>
    <w:basedOn w:val="1068"/>
    <w:next w:val="1220"/>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1">
    <w:name w:val="1名"/>
    <w:basedOn w:val="1068"/>
    <w:next w:val="1221"/>
    <w:link w:val="1068"/>
    <w:qFormat/>
    <w:pPr>
      <w:numPr>
        <w:ilvl w:val="0"/>
        <w:numId w:val="5"/>
      </w:numPr>
      <w:spacing w:before="120"/>
      <w:tabs>
        <w:tab w:val="left" w:pos="360" w:leader="none"/>
      </w:tabs>
    </w:pPr>
    <w:rPr>
      <w:rFonts w:ascii="宋体"/>
      <w:sz w:val="28"/>
      <w:szCs w:val="20"/>
    </w:rPr>
  </w:style>
  <w:style w:type="paragraph" w:styleId="1222">
    <w:name w:val="font9"/>
    <w:basedOn w:val="1068"/>
    <w:next w:val="1222"/>
    <w:link w:val="1068"/>
    <w:qFormat/>
    <w:pPr>
      <w:jc w:val="left"/>
      <w:spacing w:before="100" w:beforeAutospacing="1" w:after="100" w:afterAutospacing="1"/>
      <w:widowControl/>
    </w:pPr>
    <w:rPr>
      <w:rFonts w:hint="eastAsia" w:ascii="宋体" w:hAnsi="宋体" w:cs="Arial Unicode MS"/>
      <w:color w:val="000000"/>
      <w:sz w:val="20"/>
      <w:szCs w:val="20"/>
    </w:rPr>
  </w:style>
  <w:style w:type="paragraph" w:styleId="1223">
    <w:name w:val="Char Char Char1 Char1"/>
    <w:basedOn w:val="1068"/>
    <w:next w:val="1223"/>
    <w:link w:val="1068"/>
    <w:qFormat/>
    <w:rPr>
      <w:rFonts w:ascii="Tahoma" w:hAnsi="Tahoma"/>
      <w:sz w:val="24"/>
      <w:szCs w:val="20"/>
    </w:rPr>
  </w:style>
  <w:style w:type="paragraph" w:styleId="1224">
    <w:name w:val="Char Char Char Char Char Char Char Char Char Char"/>
    <w:basedOn w:val="1068"/>
    <w:next w:val="1224"/>
    <w:link w:val="1068"/>
    <w:qFormat/>
  </w:style>
  <w:style w:type="paragraph" w:styleId="1225">
    <w:name w:val="Char Char1 Char Char Char Char Char Char Char Char"/>
    <w:basedOn w:val="1068"/>
    <w:next w:val="1225"/>
    <w:link w:val="1068"/>
    <w:qFormat/>
    <w:pPr>
      <w:jc w:val="left"/>
      <w:spacing w:after="160" w:line="240" w:lineRule="exact"/>
      <w:widowControl/>
    </w:pPr>
    <w:rPr>
      <w:rFonts w:ascii="Verdana" w:hAnsi="Verdana"/>
      <w:sz w:val="20"/>
      <w:szCs w:val="20"/>
      <w:lang w:eastAsia="en-US"/>
    </w:rPr>
  </w:style>
  <w:style w:type="paragraph" w:styleId="1226">
    <w:name w:val="Char1"/>
    <w:basedOn w:val="1068"/>
    <w:next w:val="1226"/>
    <w:link w:val="1068"/>
    <w:qFormat/>
    <w:pPr>
      <w:tabs>
        <w:tab w:val="left" w:pos="360" w:leader="none"/>
      </w:tabs>
    </w:pPr>
    <w:rPr>
      <w:sz w:val="24"/>
    </w:rPr>
  </w:style>
  <w:style w:type="paragraph" w:styleId="1227">
    <w:name w:val="正文列项_字母"/>
    <w:basedOn w:val="1068"/>
    <w:next w:val="1227"/>
    <w:link w:val="1068"/>
    <w:qFormat/>
    <w:pPr>
      <w:numPr>
        <w:ilvl w:val="6"/>
        <w:numId w:val="1"/>
      </w:numPr>
      <w:ind w:left="480" w:hanging="180"/>
      <w:spacing w:line="460" w:lineRule="exact"/>
      <w:tabs>
        <w:tab w:val="clear" w:pos="635" w:leader="none"/>
      </w:tabs>
      <w:outlineLvl w:val="6"/>
    </w:pPr>
    <w:rPr>
      <w:rFonts w:ascii="宋体"/>
      <w:sz w:val="28"/>
      <w:szCs w:val="20"/>
    </w:rPr>
  </w:style>
  <w:style w:type="paragraph" w:styleId="1228">
    <w:name w:val="xl28"/>
    <w:basedOn w:val="1068"/>
    <w:next w:val="1228"/>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9">
    <w:name w:val="xl47"/>
    <w:basedOn w:val="1068"/>
    <w:next w:val="1229"/>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name w:val="默认段落字体 Para Char Char Char Char"/>
    <w:basedOn w:val="1068"/>
    <w:next w:val="1230"/>
    <w:link w:val="1068"/>
    <w:qFormat/>
    <w:rPr>
      <w:rFonts w:ascii="Arial" w:hAnsi="Arial" w:cs="Arial"/>
      <w:szCs w:val="21"/>
    </w:rPr>
  </w:style>
  <w:style w:type="paragraph" w:styleId="1231">
    <w:name w:val="xl48"/>
    <w:basedOn w:val="1068"/>
    <w:next w:val="1231"/>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2">
    <w:name w:val="xl31"/>
    <w:basedOn w:val="1068"/>
    <w:next w:val="1232"/>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xl53"/>
    <w:basedOn w:val="1068"/>
    <w:next w:val="1233"/>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Char Char Char"/>
    <w:basedOn w:val="1068"/>
    <w:next w:val="1234"/>
    <w:link w:val="1068"/>
    <w:qFormat/>
    <w:rPr>
      <w:rFonts w:ascii="Tahoma" w:hAnsi="Tahoma"/>
      <w:sz w:val="24"/>
      <w:szCs w:val="20"/>
    </w:rPr>
  </w:style>
  <w:style w:type="paragraph" w:styleId="1235">
    <w:name w:val="xl50"/>
    <w:basedOn w:val="1068"/>
    <w:next w:val="1235"/>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6">
    <w:name w:val="缺省文本"/>
    <w:basedOn w:val="1068"/>
    <w:next w:val="1236"/>
    <w:link w:val="1068"/>
    <w:qFormat/>
    <w:pPr>
      <w:jc w:val="left"/>
    </w:pPr>
    <w:rPr>
      <w:sz w:val="24"/>
    </w:rPr>
  </w:style>
  <w:style w:type="paragraph" w:styleId="1237">
    <w:name w:val="Char Char Char1"/>
    <w:basedOn w:val="1068"/>
    <w:next w:val="1237"/>
    <w:link w:val="1068"/>
    <w:qFormat/>
    <w:rPr>
      <w:rFonts w:ascii="Tahoma" w:hAnsi="Tahoma"/>
      <w:sz w:val="24"/>
      <w:szCs w:val="20"/>
    </w:rPr>
  </w:style>
  <w:style w:type="paragraph" w:styleId="1238">
    <w:name w:val="Char Char Char Char Char Char Char1"/>
    <w:basedOn w:val="1068"/>
    <w:next w:val="1238"/>
    <w:link w:val="1068"/>
    <w:qFormat/>
    <w:pPr>
      <w:ind w:firstLine="200"/>
      <w:spacing w:line="360" w:lineRule="auto"/>
    </w:pPr>
    <w:rPr>
      <w:rFonts w:eastAsia="仿宋_GB2312"/>
      <w:sz w:val="24"/>
    </w:rPr>
  </w:style>
  <w:style w:type="paragraph" w:styleId="1239">
    <w:name w:val="xl51"/>
    <w:basedOn w:val="1068"/>
    <w:next w:val="1239"/>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样式2"/>
    <w:basedOn w:val="1130"/>
    <w:next w:val="1240"/>
    <w:link w:val="1068"/>
    <w:qFormat/>
    <w:pPr>
      <w:jc w:val="center"/>
      <w:spacing w:line="360" w:lineRule="auto"/>
    </w:pPr>
    <w:rPr>
      <w:sz w:val="24"/>
    </w:rPr>
  </w:style>
  <w:style w:type="paragraph" w:styleId="1241">
    <w:name w:val="xl24"/>
    <w:basedOn w:val="1068"/>
    <w:next w:val="1241"/>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xl29"/>
    <w:basedOn w:val="1068"/>
    <w:next w:val="124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3">
    <w:name w:val="正文 + 楷体_GB2312"/>
    <w:basedOn w:val="1068"/>
    <w:next w:val="1243"/>
    <w:link w:val="1068"/>
    <w:qFormat/>
    <w:pPr>
      <w:jc w:val="left"/>
      <w:widowControl/>
    </w:pPr>
    <w:rPr>
      <w:rFonts w:ascii="楷体_GB2312" w:eastAsia="楷体_GB2312" w:cs="Arial"/>
      <w:sz w:val="24"/>
    </w:rPr>
  </w:style>
  <w:style w:type="paragraph" w:styleId="1244">
    <w:name w:val="xl34"/>
    <w:basedOn w:val="1068"/>
    <w:next w:val="1244"/>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5">
    <w:name w:val="1 Char Char Char Char"/>
    <w:basedOn w:val="1068"/>
    <w:next w:val="1245"/>
    <w:link w:val="1068"/>
    <w:qFormat/>
    <w:rPr>
      <w:rFonts w:ascii="Tahoma" w:hAnsi="Tahoma"/>
      <w:sz w:val="24"/>
      <w:szCs w:val="20"/>
    </w:rPr>
  </w:style>
  <w:style w:type="paragraph" w:styleId="1246">
    <w:name w:val="Default"/>
    <w:next w:val="1246"/>
    <w:link w:val="1068"/>
    <w:qFormat/>
    <w:pPr>
      <w:widowControl w:val="off"/>
    </w:pPr>
    <w:rPr>
      <w:rFonts w:ascii="Symbol" w:hAnsi="Symbol" w:cs="Symbol"/>
      <w:color w:val="000000"/>
      <w:sz w:val="24"/>
      <w:szCs w:val="24"/>
      <w:lang w:val="en-US" w:eastAsia="zh-CN" w:bidi="ar-SA"/>
    </w:rPr>
  </w:style>
  <w:style w:type="paragraph" w:styleId="1247">
    <w:name w:val="列出段落1"/>
    <w:basedOn w:val="1068"/>
    <w:next w:val="1247"/>
    <w:link w:val="1068"/>
    <w:qFormat/>
    <w:pPr>
      <w:ind w:firstLine="420"/>
    </w:pPr>
    <w:rPr>
      <w:rFonts w:ascii="Calibri" w:hAnsi="Calibri"/>
      <w:szCs w:val="22"/>
    </w:rPr>
  </w:style>
  <w:style w:type="paragraph" w:styleId="1248">
    <w:name w:val="default"/>
    <w:basedOn w:val="1068"/>
    <w:next w:val="1248"/>
    <w:link w:val="1068"/>
    <w:qFormat/>
    <w:pPr>
      <w:jc w:val="left"/>
      <w:spacing w:before="100" w:beforeAutospacing="1" w:after="100" w:afterAutospacing="1"/>
      <w:widowControl/>
    </w:pPr>
    <w:rPr>
      <w:rFonts w:ascii="宋体" w:hAnsi="宋体" w:cs="宋体"/>
      <w:sz w:val="24"/>
    </w:rPr>
  </w:style>
  <w:style w:type="paragraph" w:styleId="1249">
    <w:name w:val="字元 字元1"/>
    <w:basedOn w:val="1068"/>
    <w:next w:val="1249"/>
    <w:link w:val="1068"/>
    <w:qFormat/>
    <w:rPr>
      <w:rFonts w:ascii="Tahoma" w:hAnsi="Tahoma"/>
      <w:sz w:val="24"/>
      <w:szCs w:val="20"/>
    </w:rPr>
  </w:style>
  <w:style w:type="paragraph" w:styleId="1250">
    <w:name w:val="_Style 160"/>
    <w:next w:val="1250"/>
    <w:link w:val="1068"/>
    <w:qFormat/>
    <w:rPr>
      <w:sz w:val="21"/>
      <w:szCs w:val="24"/>
      <w:lang w:val="en-US" w:eastAsia="zh-CN" w:bidi="ar-SA"/>
    </w:rPr>
  </w:style>
  <w:style w:type="paragraph" w:styleId="1251">
    <w:name w:val="项目编号3"/>
    <w:basedOn w:val="1211"/>
    <w:next w:val="1251"/>
    <w:link w:val="1068"/>
    <w:qFormat/>
    <w:pPr>
      <w:numPr>
        <w:ilvl w:val="0"/>
        <w:numId w:val="6"/>
      </w:numPr>
    </w:pPr>
  </w:style>
  <w:style w:type="paragraph" w:styleId="1252">
    <w:name w:val="Char21"/>
    <w:basedOn w:val="1068"/>
    <w:next w:val="1252"/>
    <w:link w:val="1068"/>
    <w:qFormat/>
    <w:rPr>
      <w:rFonts w:ascii="Tahoma" w:hAnsi="Tahoma"/>
      <w:sz w:val="24"/>
      <w:szCs w:val="20"/>
    </w:rPr>
  </w:style>
  <w:style w:type="paragraph" w:styleId="1253">
    <w:name w:val="表格文字"/>
    <w:basedOn w:val="1101"/>
    <w:next w:val="1253"/>
    <w:link w:val="1068"/>
    <w:qFormat/>
    <w:pPr>
      <w:ind w:firstLine="0"/>
      <w:spacing w:before="20" w:after="20" w:line="240" w:lineRule="auto"/>
    </w:pPr>
    <w:rPr>
      <w:rFonts w:ascii="Century Gothic" w:hAnsi="Century Gothic"/>
      <w:sz w:val="20"/>
      <w:szCs w:val="20"/>
    </w:rPr>
  </w:style>
  <w:style w:type="paragraph" w:styleId="1254">
    <w:name w:val="Char Char Char Char Char Char Char Char Char Char1"/>
    <w:basedOn w:val="1068"/>
    <w:next w:val="1254"/>
    <w:link w:val="1068"/>
    <w:qFormat/>
    <w:rPr>
      <w:rFonts w:ascii="宋体" w:hAnsi="宋体" w:cs="Courier New"/>
      <w:sz w:val="32"/>
      <w:szCs w:val="32"/>
    </w:rPr>
  </w:style>
  <w:style w:type="paragraph" w:styleId="1255">
    <w:name w:val="正文文本样式 加粗"/>
    <w:basedOn w:val="1211"/>
    <w:next w:val="1255"/>
    <w:link w:val="1068"/>
    <w:qFormat/>
    <w:rPr>
      <w:b/>
    </w:rPr>
  </w:style>
  <w:style w:type="paragraph" w:styleId="1256">
    <w:name w:val="Char2 Char Char Char Char Char Char"/>
    <w:basedOn w:val="1068"/>
    <w:next w:val="1256"/>
    <w:link w:val="1068"/>
    <w:qFormat/>
    <w:pPr>
      <w:jc w:val="center"/>
      <w:spacing w:line="400" w:lineRule="exact"/>
      <w:widowControl/>
    </w:pPr>
  </w:style>
  <w:style w:type="paragraph" w:styleId="1257">
    <w:name w:val="Char Char4"/>
    <w:basedOn w:val="1068"/>
    <w:next w:val="1257"/>
    <w:link w:val="1068"/>
    <w:qFormat/>
    <w:pPr>
      <w:jc w:val="center"/>
      <w:spacing w:line="400" w:lineRule="exact"/>
      <w:widowControl/>
    </w:pPr>
  </w:style>
  <w:style w:type="paragraph" w:styleId="1258">
    <w:name w:val="Char3 Char Char Char1"/>
    <w:basedOn w:val="1068"/>
    <w:next w:val="1258"/>
    <w:link w:val="1068"/>
    <w:qFormat/>
    <w:rPr>
      <w:rFonts w:ascii="Tahoma" w:hAnsi="Tahoma"/>
      <w:sz w:val="24"/>
      <w:szCs w:val="20"/>
    </w:rPr>
  </w:style>
  <w:style w:type="paragraph" w:styleId="1259">
    <w:name w:val="无间隔"/>
    <w:next w:val="1259"/>
    <w:link w:val="1068"/>
    <w:qFormat/>
    <w:pPr>
      <w:jc w:val="both"/>
      <w:widowControl w:val="off"/>
    </w:pPr>
    <w:rPr>
      <w:sz w:val="21"/>
      <w:szCs w:val="24"/>
      <w:lang w:val="en-US" w:eastAsia="zh-CN" w:bidi="ar-SA"/>
    </w:rPr>
  </w:style>
  <w:style w:type="paragraph" w:styleId="1260">
    <w:name w:val="22222222222222"/>
    <w:basedOn w:val="1068"/>
    <w:next w:val="1260"/>
    <w:link w:val="1068"/>
    <w:qFormat/>
    <w:pPr>
      <w:ind w:firstLine="480"/>
      <w:jc w:val="left"/>
      <w:spacing w:line="360" w:lineRule="auto"/>
      <w:widowControl/>
    </w:pPr>
    <w:rPr>
      <w:color w:val="ff0000"/>
      <w:sz w:val="24"/>
      <w:szCs w:val="20"/>
    </w:rPr>
  </w:style>
  <w:style w:type="character" w:styleId="1261">
    <w:name w:val="中等深浅网格 1 - 强调文字颜色 2 Char"/>
    <w:next w:val="1261"/>
    <w:link w:val="1262"/>
    <w:qFormat/>
    <w:rPr>
      <w:sz w:val="21"/>
      <w:szCs w:val="24"/>
      <w:lang w:val="zh-CN" w:eastAsia="zh-CN" w:bidi="ar-SA"/>
    </w:rPr>
  </w:style>
  <w:style w:type="paragraph" w:styleId="1262">
    <w:name w:val="1"/>
    <w:next w:val="1262"/>
    <w:link w:val="1261"/>
    <w:qFormat/>
    <w:rPr>
      <w:sz w:val="21"/>
      <w:szCs w:val="24"/>
      <w:lang w:val="zh-CN" w:eastAsia="zh-CN" w:bidi="ar-SA"/>
    </w:rPr>
  </w:style>
  <w:style w:type="paragraph" w:styleId="1263">
    <w:name w:val="图文"/>
    <w:basedOn w:val="1068"/>
    <w:next w:val="1263"/>
    <w:link w:val="1068"/>
    <w:qFormat/>
    <w:pPr>
      <w:spacing w:after="50" w:line="360" w:lineRule="auto"/>
    </w:pPr>
    <w:rPr>
      <w:sz w:val="24"/>
    </w:rPr>
  </w:style>
  <w:style w:type="paragraph" w:styleId="1264">
    <w:name w:val="xl23"/>
    <w:basedOn w:val="1068"/>
    <w:next w:val="1264"/>
    <w:link w:val="1068"/>
    <w:qFormat/>
    <w:pPr>
      <w:spacing w:before="100" w:beforeAutospacing="1" w:after="100" w:afterAutospacing="1" w:line="360" w:lineRule="auto"/>
      <w:widowControl/>
    </w:pPr>
    <w:rPr>
      <w:sz w:val="24"/>
      <w:szCs w:val="20"/>
    </w:rPr>
  </w:style>
  <w:style w:type="paragraph" w:styleId="1265">
    <w:name w:val="正文表格"/>
    <w:basedOn w:val="1068"/>
    <w:next w:val="1265"/>
    <w:link w:val="1266"/>
    <w:qFormat/>
    <w:pPr>
      <w:jc w:val="left"/>
    </w:pPr>
    <w:rPr>
      <w:rFonts w:ascii="宋体" w:hAnsi="宋体"/>
      <w:color w:val="000000"/>
      <w:szCs w:val="21"/>
    </w:rPr>
  </w:style>
  <w:style w:type="character" w:styleId="1266">
    <w:name w:val="正文表格 Char"/>
    <w:next w:val="1266"/>
    <w:link w:val="1265"/>
    <w:qFormat/>
    <w:rPr>
      <w:rFonts w:ascii="宋体" w:hAnsi="宋体"/>
      <w:color w:val="000000"/>
      <w:sz w:val="21"/>
      <w:szCs w:val="21"/>
    </w:rPr>
  </w:style>
  <w:style w:type="paragraph" w:styleId="1267">
    <w:name w:val="正文重点"/>
    <w:basedOn w:val="1068"/>
    <w:next w:val="1267"/>
    <w:link w:val="1268"/>
    <w:qFormat/>
    <w:pPr>
      <w:ind w:firstLine="482"/>
      <w:jc w:val="left"/>
      <w:spacing w:line="360" w:lineRule="auto"/>
    </w:pPr>
    <w:rPr>
      <w:b/>
      <w:sz w:val="24"/>
      <w:szCs w:val="20"/>
    </w:rPr>
  </w:style>
  <w:style w:type="character" w:styleId="1268">
    <w:name w:val="正文重点 Char"/>
    <w:next w:val="1268"/>
    <w:link w:val="1267"/>
    <w:qFormat/>
    <w:rPr>
      <w:b/>
      <w:sz w:val="24"/>
    </w:rPr>
  </w:style>
  <w:style w:type="paragraph" w:styleId="1269">
    <w:name w:val="标题1-附件"/>
    <w:basedOn w:val="1069"/>
    <w:next w:val="1269"/>
    <w:link w:val="1068"/>
    <w:qFormat/>
    <w:pPr>
      <w:jc w:val="left"/>
    </w:pPr>
    <w:rPr>
      <w:sz w:val="24"/>
      <w:szCs w:val="24"/>
    </w:rPr>
  </w:style>
  <w:style w:type="paragraph" w:styleId="1270">
    <w:name w:val="正文小标题"/>
    <w:basedOn w:val="1068"/>
    <w:next w:val="1084"/>
    <w:link w:val="1271"/>
    <w:qFormat/>
    <w:pPr>
      <w:ind w:firstLine="482"/>
      <w:jc w:val="left"/>
      <w:spacing w:before="312" w:after="312"/>
    </w:pPr>
    <w:rPr>
      <w:rFonts w:ascii="宋体" w:hAnsi="宋体"/>
      <w:b/>
      <w:i/>
      <w:color w:val="ff0000"/>
      <w:sz w:val="24"/>
      <w:szCs w:val="20"/>
    </w:rPr>
  </w:style>
  <w:style w:type="character" w:styleId="1271">
    <w:name w:val="正文小标题 Char"/>
    <w:next w:val="1271"/>
    <w:link w:val="1270"/>
    <w:qFormat/>
    <w:rPr>
      <w:rFonts w:ascii="宋体" w:hAnsi="宋体"/>
      <w:b/>
      <w:i/>
      <w:color w:val="ff0000"/>
      <w:sz w:val="24"/>
    </w:rPr>
  </w:style>
  <w:style w:type="paragraph" w:styleId="1272">
    <w:name w:val="正文大标题"/>
    <w:basedOn w:val="1270"/>
    <w:next w:val="1084"/>
    <w:link w:val="1273"/>
    <w:qFormat/>
    <w:pPr>
      <w:jc w:val="center"/>
    </w:pPr>
    <w:rPr>
      <w:i w:val="0"/>
      <w:color w:val="000000"/>
      <w:sz w:val="28"/>
      <w:szCs w:val="21"/>
    </w:rPr>
  </w:style>
  <w:style w:type="character" w:styleId="1273">
    <w:name w:val="正文大标题 Char"/>
    <w:next w:val="1273"/>
    <w:link w:val="1272"/>
    <w:qFormat/>
    <w:rPr>
      <w:rFonts w:ascii="宋体" w:hAnsi="宋体"/>
      <w:b/>
      <w:color w:val="000000"/>
      <w:sz w:val="28"/>
      <w:szCs w:val="21"/>
    </w:rPr>
  </w:style>
  <w:style w:type="paragraph" w:styleId="1274">
    <w:name w:val="注释"/>
    <w:basedOn w:val="1068"/>
    <w:next w:val="1274"/>
    <w:link w:val="1275"/>
    <w:qFormat/>
    <w:pPr>
      <w:ind w:left="420" w:hanging="420"/>
      <w:jc w:val="left"/>
    </w:pPr>
    <w:rPr>
      <w:rFonts w:ascii="宋体" w:hAnsi="宋体"/>
      <w:szCs w:val="21"/>
    </w:rPr>
  </w:style>
  <w:style w:type="character" w:styleId="1275">
    <w:name w:val="注释 Char"/>
    <w:next w:val="1275"/>
    <w:link w:val="1274"/>
    <w:qFormat/>
    <w:rPr>
      <w:rFonts w:ascii="宋体" w:hAnsi="宋体"/>
      <w:sz w:val="21"/>
      <w:szCs w:val="21"/>
    </w:rPr>
  </w:style>
  <w:style w:type="paragraph" w:styleId="1276">
    <w:name w:val="正文须知-1级"/>
    <w:basedOn w:val="1068"/>
    <w:next w:val="1068"/>
    <w:link w:val="1068"/>
    <w:qFormat/>
    <w:pPr>
      <w:numPr>
        <w:ilvl w:val="0"/>
        <w:numId w:val="7"/>
      </w:numPr>
      <w:spacing w:line="300" w:lineRule="auto"/>
    </w:pPr>
    <w:rPr>
      <w:rFonts w:ascii="宋体" w:hAnsi="Calibri"/>
      <w:sz w:val="24"/>
      <w:szCs w:val="21"/>
    </w:rPr>
  </w:style>
  <w:style w:type="paragraph" w:styleId="1277">
    <w:name w:val="正文须知-2级"/>
    <w:basedOn w:val="1068"/>
    <w:next w:val="1277"/>
    <w:link w:val="1068"/>
    <w:qFormat/>
    <w:pPr>
      <w:numPr>
        <w:ilvl w:val="1"/>
        <w:numId w:val="7"/>
      </w:numPr>
      <w:spacing w:line="300" w:lineRule="auto"/>
    </w:pPr>
    <w:rPr>
      <w:rFonts w:ascii="宋体" w:hAnsi="Calibri"/>
      <w:sz w:val="24"/>
      <w:szCs w:val="21"/>
    </w:rPr>
  </w:style>
  <w:style w:type="paragraph" w:styleId="1278">
    <w:name w:val="正文须知-3级"/>
    <w:basedOn w:val="1068"/>
    <w:next w:val="1278"/>
    <w:link w:val="1068"/>
    <w:qFormat/>
    <w:pPr>
      <w:numPr>
        <w:ilvl w:val="2"/>
        <w:numId w:val="7"/>
      </w:numPr>
      <w:ind w:hanging="355"/>
      <w:spacing w:line="300" w:lineRule="auto"/>
    </w:pPr>
    <w:rPr>
      <w:rFonts w:ascii="宋体" w:hAnsi="Calibri"/>
      <w:sz w:val="24"/>
      <w:szCs w:val="21"/>
    </w:rPr>
  </w:style>
  <w:style w:type="character" w:styleId="1279">
    <w:name w:val="纯文本 字符"/>
    <w:next w:val="1279"/>
    <w:link w:val="1068"/>
    <w:uiPriority w:val="99"/>
    <w:qFormat/>
    <w:rPr>
      <w:rFonts w:ascii="宋体" w:hAnsi="Courier New" w:eastAsia="宋体" w:cs="Times New Roman"/>
      <w:sz w:val="21"/>
      <w:szCs w:val="21"/>
      <w:lang w:val="en-US" w:eastAsia="zh-CN" w:bidi="ar-SA"/>
    </w:rPr>
  </w:style>
  <w:style w:type="paragraph" w:styleId="1280">
    <w:name w:val="表格1"/>
    <w:basedOn w:val="1068"/>
    <w:next w:val="1280"/>
    <w:link w:val="1068"/>
    <w:qFormat/>
    <w:pPr>
      <w:ind w:firstLine="480"/>
      <w:jc w:val="center"/>
    </w:pPr>
    <w:rPr>
      <w:sz w:val="24"/>
      <w:szCs w:val="20"/>
    </w:rPr>
  </w:style>
  <w:style w:type="character" w:styleId="1281">
    <w:name w:val="纯文本 字符1"/>
    <w:next w:val="1281"/>
    <w:link w:val="1068"/>
    <w:qFormat/>
    <w:rPr>
      <w:rFonts w:ascii="宋体" w:hAnsi="Courier New"/>
    </w:rPr>
  </w:style>
  <w:style w:type="character" w:styleId="1282">
    <w:name w:val="bjh-p"/>
    <w:next w:val="1282"/>
    <w:link w:val="1068"/>
    <w:qFormat/>
  </w:style>
  <w:style w:type="paragraph" w:styleId="1283">
    <w:name w:val="无标题条"/>
    <w:next w:val="1068"/>
    <w:link w:val="1068"/>
    <w:qFormat/>
    <w:pPr>
      <w:jc w:val="both"/>
    </w:pPr>
    <w:rPr>
      <w:sz w:val="21"/>
      <w:lang w:val="en-US" w:eastAsia="zh-CN" w:bidi="ar-SA"/>
    </w:rPr>
  </w:style>
  <w:style w:type="character" w:styleId="1284">
    <w:name w:val="正文格式 Char"/>
    <w:next w:val="1284"/>
    <w:link w:val="1285"/>
    <w:qFormat/>
    <w:rPr>
      <w:rFonts w:ascii="宋体" w:hAnsi="宋体"/>
      <w:sz w:val="24"/>
      <w:szCs w:val="24"/>
      <w:lang w:val="en-GB"/>
    </w:rPr>
  </w:style>
  <w:style w:type="paragraph" w:styleId="1285">
    <w:name w:val="正文格式"/>
    <w:basedOn w:val="1068"/>
    <w:next w:val="1285"/>
    <w:link w:val="1284"/>
    <w:qFormat/>
    <w:pPr>
      <w:ind w:firstLine="480"/>
      <w:spacing w:line="360" w:lineRule="auto"/>
    </w:pPr>
    <w:rPr>
      <w:rFonts w:ascii="宋体" w:hAnsi="宋体"/>
      <w:sz w:val="24"/>
      <w:lang w:val="en-GB"/>
    </w:rPr>
  </w:style>
  <w:style w:type="character" w:styleId="1286">
    <w:name w:val="标题 3 Char"/>
    <w:next w:val="1286"/>
    <w:link w:val="1068"/>
    <w:qFormat/>
    <w:rPr>
      <w:rFonts w:ascii="宋体" w:eastAsia="宋体"/>
      <w:b/>
      <w:sz w:val="24"/>
      <w:u w:val="single"/>
      <w:lang w:val="en-US" w:eastAsia="zh-CN" w:bidi="ar-SA"/>
    </w:rPr>
  </w:style>
  <w:style w:type="character" w:styleId="1287">
    <w:name w:val="正文缩进 Char"/>
    <w:next w:val="1287"/>
    <w:link w:val="1068"/>
    <w:qFormat/>
    <w:rPr>
      <w:rFonts w:ascii="宋体" w:eastAsia="宋体"/>
      <w:sz w:val="24"/>
      <w:szCs w:val="24"/>
      <w:lang w:val="en-US" w:eastAsia="zh-CN" w:bidi="ar-SA"/>
    </w:rPr>
  </w:style>
  <w:style w:type="character" w:styleId="1288">
    <w:name w:val="Char Char111"/>
    <w:next w:val="1288"/>
    <w:link w:val="1068"/>
    <w:qFormat/>
    <w:rPr>
      <w:rFonts w:ascii="宋体" w:eastAsia="宋体"/>
      <w:b/>
      <w:sz w:val="24"/>
      <w:u w:val="single"/>
      <w:lang w:val="en-US" w:eastAsia="zh-CN" w:bidi="ar-SA"/>
    </w:rPr>
  </w:style>
  <w:style w:type="character" w:styleId="1289">
    <w:name w:val="正文文本缩进 Char"/>
    <w:next w:val="1289"/>
    <w:link w:val="1068"/>
    <w:qFormat/>
    <w:rPr>
      <w:rFonts w:eastAsia="宋体"/>
      <w:sz w:val="24"/>
      <w:szCs w:val="24"/>
      <w:lang w:val="en-US" w:eastAsia="zh-CN" w:bidi="ar-SA"/>
    </w:rPr>
  </w:style>
  <w:style w:type="character" w:styleId="1290">
    <w:name w:val="列出段落 Char"/>
    <w:next w:val="1290"/>
    <w:link w:val="1068"/>
    <w:qFormat/>
    <w:rPr>
      <w:rFonts w:ascii="Calibri" w:hAnsi="Calibri" w:eastAsia="宋体"/>
      <w:sz w:val="21"/>
      <w:szCs w:val="22"/>
      <w:lang w:val="en-US" w:eastAsia="zh-CN" w:bidi="ar-SA"/>
    </w:rPr>
  </w:style>
  <w:style w:type="character" w:styleId="1291">
    <w:name w:val="页眉 Char"/>
    <w:next w:val="1291"/>
    <w:link w:val="1068"/>
    <w:qFormat/>
    <w:rPr>
      <w:rFonts w:eastAsia="宋体"/>
      <w:sz w:val="18"/>
      <w:szCs w:val="18"/>
      <w:lang w:val="en-US" w:eastAsia="zh-CN" w:bidi="ar-SA"/>
    </w:rPr>
  </w:style>
  <w:style w:type="character" w:styleId="1292">
    <w:name w:val="标题 2 Char"/>
    <w:next w:val="1292"/>
    <w:link w:val="1068"/>
    <w:qFormat/>
    <w:rPr>
      <w:rFonts w:ascii="Arial" w:hAnsi="Arial" w:eastAsia="黑体"/>
      <w:b/>
      <w:sz w:val="30"/>
      <w:lang w:val="en-US" w:eastAsia="zh-CN" w:bidi="ar-SA"/>
    </w:rPr>
  </w:style>
  <w:style w:type="paragraph" w:styleId="1293">
    <w:name w:val="字元 字元2"/>
    <w:basedOn w:val="1068"/>
    <w:next w:val="1293"/>
    <w:link w:val="1068"/>
    <w:qFormat/>
    <w:rPr>
      <w:rFonts w:ascii="Tahoma" w:hAnsi="Tahoma"/>
      <w:sz w:val="24"/>
      <w:szCs w:val="20"/>
    </w:rPr>
  </w:style>
  <w:style w:type="paragraph" w:styleId="1294">
    <w:name w:val="Char3 Char Char Char2"/>
    <w:basedOn w:val="1068"/>
    <w:next w:val="1294"/>
    <w:link w:val="1068"/>
    <w:qFormat/>
    <w:rPr>
      <w:rFonts w:ascii="Tahoma" w:hAnsi="Tahoma"/>
      <w:sz w:val="24"/>
      <w:szCs w:val="20"/>
    </w:rPr>
  </w:style>
  <w:style w:type="paragraph" w:styleId="1295">
    <w:name w:val="正文文本缩进2"/>
    <w:basedOn w:val="1068"/>
    <w:next w:val="1295"/>
    <w:link w:val="1068"/>
    <w:qFormat/>
    <w:pPr>
      <w:ind w:firstLine="480"/>
      <w:spacing w:line="480" w:lineRule="exact"/>
    </w:pPr>
    <w:rPr>
      <w:rFonts w:ascii="宋体" w:hAnsi="宋体"/>
      <w:sz w:val="24"/>
      <w:lang w:val="zh-CN" w:eastAsia="zh-CN"/>
    </w:rPr>
  </w:style>
  <w:style w:type="paragraph" w:styleId="1296">
    <w:name w:val="Char3"/>
    <w:basedOn w:val="1068"/>
    <w:next w:val="1296"/>
    <w:link w:val="1068"/>
    <w:qFormat/>
    <w:pPr>
      <w:tabs>
        <w:tab w:val="left" w:pos="360" w:leader="none"/>
      </w:tabs>
    </w:pPr>
    <w:rPr>
      <w:sz w:val="24"/>
    </w:rPr>
  </w:style>
  <w:style w:type="paragraph" w:styleId="1297">
    <w:name w:val="Char Char Char Char Char Char Char Char Char Char Char Char Char Char Char Char1"/>
    <w:basedOn w:val="1068"/>
    <w:next w:val="1297"/>
    <w:link w:val="1068"/>
    <w:qFormat/>
    <w:pPr>
      <w:jc w:val="center"/>
      <w:spacing w:after="160" w:line="240" w:lineRule="exact"/>
      <w:widowControl/>
    </w:pPr>
    <w:rPr>
      <w:rFonts w:ascii="宋体" w:hAnsi="宋体"/>
      <w:b/>
      <w:sz w:val="30"/>
      <w:szCs w:val="30"/>
      <w:lang w:eastAsia="en-US"/>
    </w:rPr>
  </w:style>
  <w:style w:type="paragraph" w:styleId="1298">
    <w:name w:val="Char Char1 Char Char Char Char Char Char1"/>
    <w:basedOn w:val="1068"/>
    <w:next w:val="1298"/>
    <w:link w:val="1068"/>
    <w:qFormat/>
    <w:pPr>
      <w:jc w:val="left"/>
      <w:spacing w:after="160" w:line="240" w:lineRule="exact"/>
      <w:widowControl/>
    </w:pPr>
    <w:rPr>
      <w:rFonts w:ascii="Verdana" w:hAnsi="Verdana" w:eastAsia="仿宋_GB2312"/>
      <w:sz w:val="24"/>
      <w:szCs w:val="20"/>
      <w:lang w:eastAsia="en-US"/>
    </w:rPr>
  </w:style>
  <w:style w:type="paragraph" w:styleId="1299">
    <w:name w:val="列出段落2"/>
    <w:basedOn w:val="1068"/>
    <w:next w:val="1299"/>
    <w:link w:val="1068"/>
    <w:qFormat/>
    <w:pPr>
      <w:ind w:firstLine="420"/>
    </w:pPr>
    <w:rPr>
      <w:rFonts w:ascii="Calibri" w:hAnsi="Calibri"/>
      <w:szCs w:val="22"/>
    </w:rPr>
  </w:style>
  <w:style w:type="paragraph" w:styleId="1300">
    <w:name w:val="Char Char Char1 Char2"/>
    <w:basedOn w:val="1068"/>
    <w:next w:val="1300"/>
    <w:link w:val="1068"/>
    <w:qFormat/>
    <w:rPr>
      <w:rFonts w:ascii="Tahoma" w:hAnsi="Tahoma"/>
      <w:sz w:val="24"/>
      <w:szCs w:val="20"/>
    </w:rPr>
  </w:style>
  <w:style w:type="paragraph" w:styleId="1301">
    <w:name w:val="Char Char Char2"/>
    <w:basedOn w:val="1068"/>
    <w:next w:val="1301"/>
    <w:link w:val="1068"/>
    <w:qFormat/>
    <w:rPr>
      <w:rFonts w:ascii="Tahoma" w:hAnsi="Tahoma"/>
      <w:sz w:val="24"/>
      <w:szCs w:val="20"/>
    </w:rPr>
  </w:style>
  <w:style w:type="paragraph" w:styleId="1302">
    <w:name w:val="Char Char Char Char Char Char Char2"/>
    <w:basedOn w:val="1068"/>
    <w:next w:val="1302"/>
    <w:link w:val="1068"/>
    <w:qFormat/>
    <w:pPr>
      <w:ind w:firstLine="200"/>
      <w:spacing w:line="360" w:lineRule="auto"/>
    </w:pPr>
    <w:rPr>
      <w:rFonts w:eastAsia="仿宋_GB2312"/>
      <w:sz w:val="24"/>
    </w:rPr>
  </w:style>
  <w:style w:type="paragraph" w:styleId="1303">
    <w:name w:val="正文缩进2"/>
    <w:basedOn w:val="1068"/>
    <w:next w:val="1303"/>
    <w:link w:val="1068"/>
    <w:qFormat/>
    <w:pPr>
      <w:ind w:firstLine="567"/>
      <w:spacing w:line="480" w:lineRule="exact"/>
      <w:widowControl/>
    </w:pPr>
    <w:rPr>
      <w:rFonts w:ascii="宋体"/>
      <w:color w:val="000000"/>
      <w:sz w:val="28"/>
      <w:szCs w:val="20"/>
      <w:lang w:val="zh-CN" w:eastAsia="zh-CN"/>
    </w:rPr>
  </w:style>
  <w:style w:type="paragraph" w:styleId="1304">
    <w:name w:val="Revision"/>
    <w:next w:val="1304"/>
    <w:link w:val="1068"/>
    <w:qFormat/>
    <w:rPr>
      <w:sz w:val="21"/>
      <w:szCs w:val="24"/>
      <w:lang w:val="en-US" w:eastAsia="zh-CN" w:bidi="ar-SA"/>
    </w:rPr>
  </w:style>
  <w:style w:type="paragraph" w:styleId="1305">
    <w:name w:val="Char22"/>
    <w:basedOn w:val="1068"/>
    <w:next w:val="1305"/>
    <w:link w:val="1068"/>
    <w:qFormat/>
    <w:rPr>
      <w:rFonts w:ascii="Tahoma" w:hAnsi="Tahoma"/>
      <w:sz w:val="24"/>
      <w:szCs w:val="20"/>
    </w:rPr>
  </w:style>
  <w:style w:type="paragraph" w:styleId="1306">
    <w:name w:val="Char Char Char Char Char Char Char Char Char Char2"/>
    <w:basedOn w:val="1068"/>
    <w:next w:val="1306"/>
    <w:link w:val="1068"/>
    <w:qFormat/>
    <w:rPr>
      <w:rFonts w:ascii="宋体" w:hAnsi="宋体" w:cs="Courier New"/>
      <w:sz w:val="32"/>
      <w:szCs w:val="32"/>
    </w:rPr>
  </w:style>
  <w:style w:type="paragraph" w:styleId="1307">
    <w:name w:val="Char2 Char Char Char Char Char Char1"/>
    <w:basedOn w:val="1068"/>
    <w:next w:val="1307"/>
    <w:link w:val="1068"/>
    <w:qFormat/>
    <w:pPr>
      <w:jc w:val="center"/>
      <w:spacing w:line="400" w:lineRule="exact"/>
      <w:widowControl/>
    </w:pPr>
  </w:style>
  <w:style w:type="character" w:styleId="1308">
    <w:name w:val="页脚 Char"/>
    <w:next w:val="1308"/>
    <w:link w:val="1068"/>
    <w:qFormat/>
    <w:rPr>
      <w:rFonts w:ascii="宋体" w:eastAsia="宋体"/>
      <w:sz w:val="18"/>
      <w:lang w:val="en-US" w:eastAsia="zh-CN" w:bidi="ar-SA"/>
    </w:rPr>
  </w:style>
  <w:style w:type="paragraph" w:styleId="1309">
    <w:name w:val="Char Char41"/>
    <w:basedOn w:val="1068"/>
    <w:next w:val="1309"/>
    <w:link w:val="1068"/>
    <w:qFormat/>
    <w:pPr>
      <w:jc w:val="center"/>
      <w:spacing w:line="400" w:lineRule="exact"/>
      <w:widowControl/>
    </w:pPr>
  </w:style>
  <w:style w:type="character" w:styleId="1310">
    <w:name w:val="批注文字 Char"/>
    <w:next w:val="1310"/>
    <w:link w:val="1068"/>
    <w:uiPriority w:val="99"/>
    <w:qFormat/>
    <w:rPr>
      <w:sz w:val="21"/>
      <w:szCs w:val="24"/>
    </w:rPr>
  </w:style>
  <w:style w:type="character" w:styleId="1311">
    <w:name w:val="标题 Char"/>
    <w:next w:val="1311"/>
    <w:link w:val="1068"/>
    <w:qFormat/>
    <w:rPr>
      <w:b/>
      <w:sz w:val="32"/>
    </w:rPr>
  </w:style>
  <w:style w:type="paragraph" w:styleId="1312">
    <w:name w:val="图例"/>
    <w:basedOn w:val="1068"/>
    <w:next w:val="1312"/>
    <w:link w:val="1068"/>
    <w:qFormat/>
    <w:pPr>
      <w:jc w:val="center"/>
      <w:spacing w:before="120" w:after="120" w:line="360" w:lineRule="auto"/>
    </w:pPr>
    <w:rPr>
      <w:rFonts w:eastAsia="仿宋_GB2312"/>
      <w:b/>
      <w:sz w:val="24"/>
      <w:szCs w:val="20"/>
    </w:rPr>
  </w:style>
  <w:style w:type="table" w:styleId="1313">
    <w:name w:val="Table Normal"/>
    <w:next w:val="1313"/>
    <w:link w:val="1068"/>
    <w:uiPriority w:val="2"/>
    <w:unhideWhenUsed/>
    <w:qFormat/>
    <w:pPr>
      <w:widowControl w:val="off"/>
    </w:pPr>
    <w:rPr>
      <w:rFonts w:ascii="Calibri" w:hAnsi="Calibri"/>
      <w:sz w:val="22"/>
      <w:szCs w:val="22"/>
      <w:lang w:val="en-US" w:eastAsia="en-US" w:bidi="ar-SA"/>
    </w:rPr>
    <w:tblPr/>
  </w:style>
  <w:style w:type="paragraph" w:styleId="1314">
    <w:name w:val="Table Paragraph"/>
    <w:basedOn w:val="1068"/>
    <w:next w:val="1314"/>
    <w:link w:val="1068"/>
    <w:uiPriority w:val="1"/>
    <w:qFormat/>
    <w:pPr>
      <w:jc w:val="left"/>
    </w:pPr>
    <w:rPr>
      <w:rFonts w:ascii="宋体" w:hAnsi="宋体" w:cs="宋体"/>
      <w:sz w:val="22"/>
      <w:szCs w:val="22"/>
      <w:lang w:eastAsia="en-US"/>
    </w:rPr>
  </w:style>
  <w:style w:type="paragraph" w:styleId="1315">
    <w:name w:val="成文日期"/>
    <w:basedOn w:val="1068"/>
    <w:next w:val="1315"/>
    <w:link w:val="1316"/>
    <w:qFormat/>
    <w:pPr>
      <w:ind w:right="400" w:firstLine="200"/>
      <w:jc w:val="right"/>
      <w:spacing w:line="570" w:lineRule="exact"/>
    </w:pPr>
    <w:rPr>
      <w:rFonts w:ascii="仿宋_GB2312" w:eastAsia="仿宋_GB2312"/>
      <w:sz w:val="32"/>
      <w:szCs w:val="20"/>
    </w:rPr>
  </w:style>
  <w:style w:type="character" w:styleId="1316">
    <w:name w:val="成文日期 Char"/>
    <w:next w:val="1316"/>
    <w:link w:val="1315"/>
    <w:rPr>
      <w:rFonts w:ascii="仿宋_GB2312" w:eastAsia="仿宋_GB2312"/>
      <w:sz w:val="32"/>
    </w:rPr>
  </w:style>
  <w:style w:type="paragraph" w:styleId="1317">
    <w:name w:val="修订"/>
    <w:next w:val="1317"/>
    <w:link w:val="1068"/>
    <w:uiPriority w:val="99"/>
    <w:unhideWhenUsed/>
    <w:rPr>
      <w:sz w:val="21"/>
      <w:szCs w:val="24"/>
      <w:lang w:val="en-US" w:eastAsia="zh-CN" w:bidi="ar-SA"/>
    </w:rPr>
  </w:style>
  <w:style w:type="character" w:styleId="1318">
    <w:name w:val="正文缩进 字符"/>
    <w:next w:val="1318"/>
    <w:link w:val="1068"/>
    <w:uiPriority w:val="99"/>
    <w:qFormat/>
    <w:rPr>
      <w:rFonts w:ascii="宋体" w:hAnsi="Times New Roman" w:eastAsia="宋体" w:cs="Times New Roman"/>
      <w:sz w:val="24"/>
    </w:rPr>
  </w:style>
  <w:style w:type="character" w:styleId="1319">
    <w:name w:val="正文文本 字符"/>
    <w:next w:val="1319"/>
    <w:link w:val="1068"/>
    <w:qFormat/>
    <w:rPr>
      <w:rFonts w:ascii="宋体" w:hAnsi="宋体"/>
      <w:sz w:val="24"/>
      <w:szCs w:val="24"/>
    </w:rPr>
  </w:style>
  <w:style w:type="paragraph" w:styleId="1320">
    <w:name w:val="纯文本1"/>
    <w:next w:val="1121"/>
    <w:link w:val="1068"/>
    <w:qFormat/>
    <w:pPr>
      <w:jc w:val="both"/>
      <w:widowControl w:val="off"/>
    </w:pPr>
    <w:rPr>
      <w:rFonts w:ascii="宋体" w:hAnsi="宋体"/>
      <w:sz w:val="26"/>
      <w:szCs w:val="24"/>
      <w:lang w:val="en-US" w:eastAsia="zh-CN" w:bidi="ar-SA"/>
    </w:rPr>
  </w:style>
  <w:style w:type="paragraph" w:styleId="1321">
    <w:name w:val="AONormal"/>
    <w:next w:val="1321"/>
    <w:link w:val="1068"/>
    <w:qFormat/>
    <w:pPr>
      <w:ind w:firstLine="440"/>
      <w:spacing w:line="400" w:lineRule="exact"/>
    </w:pPr>
    <w:rPr>
      <w:rFonts w:ascii="华文楷体" w:hAnsi="华文楷体" w:eastAsia="华文楷体" w:cs="华文楷体"/>
      <w:sz w:val="22"/>
      <w:szCs w:val="21"/>
      <w:lang w:val="en-US" w:eastAsia="zh-CN" w:bidi="ar-SA"/>
    </w:rPr>
  </w:style>
  <w:style w:type="character" w:styleId="1322">
    <w:name w:val="font11"/>
    <w:basedOn w:val="1078"/>
    <w:next w:val="1322"/>
    <w:link w:val="1068"/>
    <w:qFormat/>
    <w:rPr>
      <w:rFonts w:hint="eastAsia" w:ascii="微软雅黑" w:hAnsi="微软雅黑" w:eastAsia="微软雅黑" w:cs="微软雅黑"/>
      <w:color w:val="000000"/>
      <w:sz w:val="24"/>
      <w:szCs w:val="24"/>
      <w:u w:val="none"/>
    </w:rPr>
  </w:style>
  <w:style w:type="character" w:styleId="1323">
    <w:name w:val="font31"/>
    <w:basedOn w:val="1078"/>
    <w:next w:val="1323"/>
    <w:link w:val="1068"/>
    <w:qFormat/>
    <w:rPr>
      <w:rFonts w:hint="eastAsia" w:ascii="微软雅黑" w:hAnsi="微软雅黑" w:eastAsia="微软雅黑" w:cs="微软雅黑"/>
      <w:color w:val="000000"/>
      <w:sz w:val="24"/>
      <w:szCs w:val="24"/>
      <w:u w:val="none"/>
    </w:rPr>
  </w:style>
  <w:style w:type="character" w:styleId="1324">
    <w:name w:val="font21"/>
    <w:basedOn w:val="1078"/>
    <w:next w:val="1324"/>
    <w:link w:val="1068"/>
    <w:qFormat/>
    <w:rPr>
      <w:rFonts w:hint="eastAsia" w:ascii="宋体" w:hAnsi="宋体" w:eastAsia="宋体" w:cs="宋体"/>
      <w:b/>
      <w:bCs/>
      <w:color w:val="000000"/>
      <w:sz w:val="28"/>
      <w:szCs w:val="28"/>
      <w:u w:val="none"/>
    </w:rPr>
  </w:style>
  <w:style w:type="character" w:styleId="1325">
    <w:name w:val="font41"/>
    <w:basedOn w:val="1078"/>
    <w:next w:val="1325"/>
    <w:link w:val="1068"/>
    <w:qFormat/>
    <w:rPr>
      <w:rFonts w:hint="eastAsia" w:ascii="宋体" w:hAnsi="宋体" w:eastAsia="宋体" w:cs="宋体"/>
      <w:b/>
      <w:bCs/>
      <w:color w:val="000000"/>
      <w:sz w:val="28"/>
      <w:szCs w:val="28"/>
      <w:u w:val="none"/>
      <w:vertAlign w:val="superscript"/>
    </w:rPr>
  </w:style>
  <w:style w:type="character" w:styleId="1326">
    <w:name w:val="font61"/>
    <w:basedOn w:val="1078"/>
    <w:next w:val="1326"/>
    <w:link w:val="1068"/>
    <w:qFormat/>
    <w:rPr>
      <w:rFonts w:hint="eastAsia" w:ascii="宋体" w:hAnsi="宋体" w:eastAsia="宋体" w:cs="宋体"/>
      <w:color w:val="000000"/>
      <w:sz w:val="28"/>
      <w:szCs w:val="28"/>
      <w:u w:val="none"/>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袁婷</cp:lastModifiedBy>
  <cp:revision>4</cp:revision>
  <dcterms:created xsi:type="dcterms:W3CDTF">2022-05-30T08:08:00Z</dcterms:created>
  <dcterms:modified xsi:type="dcterms:W3CDTF">2026-06-02T06:56:36Z</dcterms:modified>
</cp:coreProperties>
</file>